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1CA" w:rsidRDefault="004531CA" w:rsidP="004531CA">
      <w:pPr>
        <w:pStyle w:val="Heading8"/>
        <w:jc w:val="center"/>
        <w:rPr>
          <w:b/>
          <w:sz w:val="32"/>
          <w:szCs w:val="32"/>
          <w:lang w:val="ru-RU"/>
        </w:rPr>
      </w:pPr>
      <w:r w:rsidRPr="004B2A94">
        <w:rPr>
          <w:b/>
          <w:sz w:val="32"/>
          <w:szCs w:val="32"/>
          <w:lang w:val="ru-RU"/>
        </w:rPr>
        <w:t>ТЕХНИЧЕСКА СПЕЦИФИКАЦИЯ</w:t>
      </w:r>
    </w:p>
    <w:p w:rsidR="004531CA" w:rsidRPr="002B0470" w:rsidRDefault="004531CA" w:rsidP="004531CA">
      <w:pPr>
        <w:rPr>
          <w:lang w:val="ru-RU"/>
        </w:rPr>
      </w:pPr>
    </w:p>
    <w:p w:rsidR="004531CA" w:rsidRDefault="004531CA" w:rsidP="004531CA">
      <w:pPr>
        <w:ind w:right="-118" w:firstLine="708"/>
        <w:jc w:val="both"/>
        <w:rPr>
          <w:b/>
        </w:rPr>
      </w:pPr>
      <w:r w:rsidRPr="003665AB">
        <w:rPr>
          <w:b/>
        </w:rPr>
        <w:t>1.</w:t>
      </w:r>
      <w:r>
        <w:t xml:space="preserve"> </w:t>
      </w:r>
      <w:r w:rsidRPr="00D31A94">
        <w:rPr>
          <w:b/>
        </w:rPr>
        <w:t xml:space="preserve"> </w:t>
      </w:r>
      <w:r w:rsidRPr="00C3090E">
        <w:rPr>
          <w:b/>
        </w:rPr>
        <w:t xml:space="preserve">Изисквания </w:t>
      </w:r>
      <w:r>
        <w:rPr>
          <w:b/>
        </w:rPr>
        <w:t xml:space="preserve">към електрическата енергия и други изисквани, свързани с </w:t>
      </w:r>
      <w:r w:rsidRPr="00C3090E">
        <w:rPr>
          <w:b/>
        </w:rPr>
        <w:t xml:space="preserve"> </w:t>
      </w:r>
      <w:r>
        <w:rPr>
          <w:b/>
        </w:rPr>
        <w:t>изпълнението на обекта на поръчката</w:t>
      </w:r>
      <w:r w:rsidRPr="00C3090E">
        <w:rPr>
          <w:b/>
        </w:rPr>
        <w:t>:</w:t>
      </w:r>
    </w:p>
    <w:p w:rsidR="004531CA" w:rsidRPr="00C3090E" w:rsidRDefault="004531CA" w:rsidP="004531CA">
      <w:pPr>
        <w:ind w:right="-118" w:firstLine="708"/>
        <w:jc w:val="both"/>
        <w:rPr>
          <w:b/>
        </w:rPr>
      </w:pPr>
    </w:p>
    <w:p w:rsidR="004531CA" w:rsidRDefault="004531CA" w:rsidP="004531CA">
      <w:pPr>
        <w:ind w:firstLine="720"/>
        <w:jc w:val="both"/>
      </w:pPr>
      <w:r>
        <w:t xml:space="preserve">1.1. </w:t>
      </w:r>
      <w:r w:rsidRPr="00C3090E">
        <w:t>Електрическата  енергия със средно напрежение следва да е с качество, отговарящо на нормативните изисквания, съгласно Закона за енергетиката и Правилата за търговия с електрическа енергия.</w:t>
      </w:r>
    </w:p>
    <w:p w:rsidR="004531CA" w:rsidRPr="00C3090E" w:rsidRDefault="004531CA" w:rsidP="004531CA">
      <w:pPr>
        <w:ind w:firstLine="720"/>
        <w:jc w:val="both"/>
      </w:pPr>
    </w:p>
    <w:p w:rsidR="004531CA" w:rsidRDefault="004531CA" w:rsidP="004531CA">
      <w:pPr>
        <w:autoSpaceDE w:val="0"/>
        <w:autoSpaceDN w:val="0"/>
        <w:adjustRightInd w:val="0"/>
        <w:jc w:val="both"/>
      </w:pPr>
      <w:r>
        <w:t xml:space="preserve">            1.2. Изпълнителят следва:</w:t>
      </w:r>
    </w:p>
    <w:p w:rsidR="004531CA" w:rsidRDefault="004531CA" w:rsidP="004531CA">
      <w:pPr>
        <w:autoSpaceDE w:val="0"/>
        <w:autoSpaceDN w:val="0"/>
        <w:adjustRightInd w:val="0"/>
        <w:jc w:val="both"/>
      </w:pPr>
    </w:p>
    <w:p w:rsidR="004531CA" w:rsidRDefault="004531CA" w:rsidP="004531CA">
      <w:pPr>
        <w:autoSpaceDE w:val="0"/>
        <w:autoSpaceDN w:val="0"/>
        <w:adjustRightInd w:val="0"/>
        <w:jc w:val="both"/>
      </w:pPr>
      <w:r>
        <w:t xml:space="preserve">            1.2.1. да изготвя дневни почасови  товарови графици и покриването  на  техните небаланси и параметрите за тяхното формиране за срока на договора. Този дневен график следва да бъде общ вид на очаквания часови енергиен товар. Дневният график следва да обхваща 24 часа, започвайки от 00:00 ч. до 24:00 ч. за съответния ден.</w:t>
      </w:r>
    </w:p>
    <w:p w:rsidR="004531CA" w:rsidRDefault="004531CA" w:rsidP="004531CA">
      <w:pPr>
        <w:autoSpaceDE w:val="0"/>
        <w:autoSpaceDN w:val="0"/>
        <w:adjustRightInd w:val="0"/>
        <w:jc w:val="both"/>
      </w:pPr>
      <w:r>
        <w:t xml:space="preserve">           1.2.2. да изпраща почасовите дневни графици за доставка на ЕСО, в съответствие с разпоредбите на ПТЕЕ. Своевременно да администрира графиците и обмена на информация с ЕСО ЕАД.</w:t>
      </w:r>
    </w:p>
    <w:p w:rsidR="004531CA" w:rsidRDefault="004531CA" w:rsidP="004531CA">
      <w:pPr>
        <w:autoSpaceDE w:val="0"/>
        <w:autoSpaceDN w:val="0"/>
        <w:adjustRightInd w:val="0"/>
        <w:jc w:val="both"/>
      </w:pPr>
      <w:r>
        <w:t xml:space="preserve">            1.2.3. да координира и балансира количествата нетна електрическа енергия.</w:t>
      </w:r>
    </w:p>
    <w:p w:rsidR="004531CA" w:rsidRDefault="004531CA" w:rsidP="004531CA">
      <w:pPr>
        <w:autoSpaceDE w:val="0"/>
        <w:autoSpaceDN w:val="0"/>
        <w:adjustRightInd w:val="0"/>
        <w:jc w:val="both"/>
      </w:pPr>
      <w:r>
        <w:t xml:space="preserve">            1.2.4. да регистрира графиците за доставка на електроенергия през Уеб портал. Да генерира различни справки – графично и таблично да представя договорени и измерени количества електроенергия, небаланси.</w:t>
      </w:r>
    </w:p>
    <w:p w:rsidR="004531CA" w:rsidRDefault="004531CA" w:rsidP="004531CA">
      <w:pPr>
        <w:autoSpaceDE w:val="0"/>
        <w:autoSpaceDN w:val="0"/>
        <w:adjustRightInd w:val="0"/>
        <w:jc w:val="both"/>
      </w:pPr>
      <w:r>
        <w:t xml:space="preserve">           1.2.5. да следи почасовите измерени количества електроенергия в табличен и графичен вид. </w:t>
      </w:r>
    </w:p>
    <w:p w:rsidR="004531CA" w:rsidRDefault="004531CA" w:rsidP="004531CA">
      <w:pPr>
        <w:autoSpaceDE w:val="0"/>
        <w:autoSpaceDN w:val="0"/>
        <w:adjustRightInd w:val="0"/>
        <w:jc w:val="both"/>
      </w:pPr>
      <w:r>
        <w:t xml:space="preserve">           1.2.6. да поддържа и предава електронна база от данни за часовото и месечното електропотребление на Възложителя.</w:t>
      </w:r>
    </w:p>
    <w:p w:rsidR="004531CA" w:rsidRDefault="004531CA" w:rsidP="004531CA">
      <w:pPr>
        <w:autoSpaceDE w:val="0"/>
        <w:autoSpaceDN w:val="0"/>
        <w:adjustRightInd w:val="0"/>
        <w:jc w:val="both"/>
      </w:pPr>
      <w:r>
        <w:t xml:space="preserve">           1.2.7. да оказва съдействие в процеса на регистрация обекта на Възложителя.</w:t>
      </w:r>
    </w:p>
    <w:p w:rsidR="004531CA" w:rsidRDefault="004531CA" w:rsidP="004531CA">
      <w:pPr>
        <w:autoSpaceDE w:val="0"/>
        <w:autoSpaceDN w:val="0"/>
        <w:adjustRightInd w:val="0"/>
        <w:jc w:val="both"/>
      </w:pPr>
    </w:p>
    <w:p w:rsidR="004531CA" w:rsidRDefault="004531CA" w:rsidP="004531CA">
      <w:pPr>
        <w:jc w:val="both"/>
        <w:rPr>
          <w:b/>
        </w:rPr>
      </w:pPr>
      <w:r>
        <w:rPr>
          <w:b/>
          <w:color w:val="000000"/>
          <w:spacing w:val="-12"/>
        </w:rPr>
        <w:t xml:space="preserve">               2</w:t>
      </w:r>
      <w:r w:rsidRPr="00E8213E">
        <w:rPr>
          <w:b/>
          <w:color w:val="000000"/>
          <w:spacing w:val="-12"/>
        </w:rPr>
        <w:t>.</w:t>
      </w:r>
      <w:r w:rsidRPr="00E8213E">
        <w:rPr>
          <w:color w:val="000000"/>
          <w:spacing w:val="-12"/>
        </w:rPr>
        <w:t xml:space="preserve"> </w:t>
      </w:r>
      <w:r w:rsidRPr="00075729">
        <w:rPr>
          <w:b/>
        </w:rPr>
        <w:t>Общо количество или обем:</w:t>
      </w:r>
    </w:p>
    <w:p w:rsidR="004531CA" w:rsidRDefault="004531CA" w:rsidP="004531CA">
      <w:pPr>
        <w:jc w:val="both"/>
        <w:rPr>
          <w:b/>
        </w:rPr>
      </w:pPr>
    </w:p>
    <w:p w:rsidR="004531CA" w:rsidRPr="003D2BEA" w:rsidRDefault="004531CA" w:rsidP="004531CA">
      <w:pPr>
        <w:jc w:val="both"/>
      </w:pPr>
      <w:r>
        <w:t xml:space="preserve">            2.1. </w:t>
      </w:r>
      <w:r w:rsidRPr="00955367">
        <w:t>Прогнозно</w:t>
      </w:r>
      <w:r>
        <w:t>то</w:t>
      </w:r>
      <w:r w:rsidRPr="00955367">
        <w:t xml:space="preserve"> количество консумирана електроенергия от Възложителя </w:t>
      </w:r>
      <w:r w:rsidR="00AF5DF3">
        <w:t>–</w:t>
      </w:r>
      <w:r>
        <w:t xml:space="preserve"> </w:t>
      </w:r>
      <w:r w:rsidR="00AF5DF3">
        <w:t xml:space="preserve">Болница „Лозенец“ </w:t>
      </w:r>
      <w:r w:rsidRPr="003D2BEA">
        <w:t xml:space="preserve"> за срок от 12 месеца е в размер на  </w:t>
      </w:r>
      <w:r w:rsidR="00931799" w:rsidRPr="00931799">
        <w:rPr>
          <w:color w:val="000000"/>
        </w:rPr>
        <w:t>3737780</w:t>
      </w:r>
      <w:r w:rsidR="00931799">
        <w:rPr>
          <w:color w:val="000000"/>
          <w:lang w:val="en-US"/>
        </w:rPr>
        <w:t xml:space="preserve"> </w:t>
      </w:r>
      <w:bookmarkStart w:id="0" w:name="_GoBack"/>
      <w:bookmarkEnd w:id="0"/>
      <w:r w:rsidRPr="003D2BEA">
        <w:rPr>
          <w:color w:val="000000"/>
        </w:rPr>
        <w:t>кВтч</w:t>
      </w:r>
      <w:r w:rsidRPr="003D2BEA">
        <w:t>;</w:t>
      </w:r>
    </w:p>
    <w:p w:rsidR="004531CA" w:rsidRDefault="004531CA" w:rsidP="004531CA">
      <w:pPr>
        <w:ind w:firstLine="708"/>
        <w:jc w:val="both"/>
        <w:rPr>
          <w:rStyle w:val="apple-converted-space"/>
          <w:color w:val="000000"/>
          <w:shd w:val="clear" w:color="auto" w:fill="FFFFFF"/>
        </w:rPr>
      </w:pPr>
      <w:r w:rsidRPr="003D2BEA">
        <w:rPr>
          <w:color w:val="000000"/>
          <w:shd w:val="clear" w:color="auto" w:fill="FFFFFF"/>
        </w:rPr>
        <w:t>Прогнозното количество електроенергия не ангажира Възложителят да го потреби, като доставчикът се задължава да достави нужното количество електроенергия за денонощие, за месец и за целия период на договора.</w:t>
      </w:r>
      <w:r w:rsidRPr="003D2BEA">
        <w:rPr>
          <w:rStyle w:val="apple-converted-space"/>
          <w:color w:val="000000"/>
          <w:shd w:val="clear" w:color="auto" w:fill="FFFFFF"/>
        </w:rPr>
        <w:t> </w:t>
      </w:r>
    </w:p>
    <w:p w:rsidR="004531CA" w:rsidRPr="003D2BEA" w:rsidRDefault="004531CA" w:rsidP="004531CA">
      <w:pPr>
        <w:ind w:firstLine="708"/>
        <w:jc w:val="both"/>
      </w:pPr>
    </w:p>
    <w:p w:rsidR="004531CA" w:rsidRDefault="004531CA" w:rsidP="004531CA">
      <w:pPr>
        <w:jc w:val="both"/>
      </w:pPr>
      <w:r w:rsidRPr="003D2BEA">
        <w:t xml:space="preserve">           </w:t>
      </w:r>
      <w:r>
        <w:t>2</w:t>
      </w:r>
      <w:r w:rsidRPr="003D2BEA">
        <w:t>.2. Информацията относно денонощния товаров график и/или разпределението на дневната, нощна и върхова консумация електроенергия от Възложителя за</w:t>
      </w:r>
      <w:r w:rsidRPr="00955367">
        <w:t xml:space="preserve"> период от 12 месеца</w:t>
      </w:r>
      <w:r>
        <w:t>:</w:t>
      </w:r>
    </w:p>
    <w:p w:rsidR="004531CA" w:rsidRDefault="004531CA" w:rsidP="004531CA">
      <w:pPr>
        <w:jc w:val="both"/>
      </w:pPr>
    </w:p>
    <w:p w:rsidR="00D40DC3" w:rsidRDefault="00D40DC3" w:rsidP="004531CA">
      <w:pPr>
        <w:jc w:val="both"/>
      </w:pPr>
    </w:p>
    <w:p w:rsidR="00D40DC3" w:rsidRDefault="00D40DC3" w:rsidP="004531CA">
      <w:pPr>
        <w:jc w:val="both"/>
      </w:pPr>
    </w:p>
    <w:p w:rsidR="00D40DC3" w:rsidRDefault="00D40DC3" w:rsidP="004531CA">
      <w:pPr>
        <w:jc w:val="both"/>
      </w:pPr>
    </w:p>
    <w:p w:rsidR="00D40DC3" w:rsidRDefault="00D40DC3" w:rsidP="004531CA">
      <w:pPr>
        <w:jc w:val="both"/>
      </w:pPr>
    </w:p>
    <w:p w:rsidR="00D40DC3" w:rsidRDefault="00D40DC3" w:rsidP="004531CA">
      <w:pPr>
        <w:jc w:val="both"/>
      </w:pPr>
    </w:p>
    <w:p w:rsidR="00D40DC3" w:rsidRDefault="00D40DC3" w:rsidP="004531CA">
      <w:pPr>
        <w:jc w:val="both"/>
      </w:pPr>
    </w:p>
    <w:p w:rsidR="00D40DC3" w:rsidRDefault="00D40DC3" w:rsidP="004531CA">
      <w:pPr>
        <w:jc w:val="both"/>
      </w:pPr>
    </w:p>
    <w:p w:rsidR="00D40DC3" w:rsidRDefault="00D40DC3" w:rsidP="004531CA">
      <w:pPr>
        <w:jc w:val="both"/>
      </w:pPr>
    </w:p>
    <w:p w:rsidR="00D40DC3" w:rsidRDefault="00D40DC3" w:rsidP="004531CA">
      <w:pPr>
        <w:jc w:val="both"/>
      </w:pPr>
    </w:p>
    <w:p w:rsidR="00D40DC3" w:rsidRDefault="00D40DC3" w:rsidP="004531CA">
      <w:pPr>
        <w:jc w:val="both"/>
      </w:pPr>
    </w:p>
    <w:p w:rsidR="00D40DC3" w:rsidRPr="00623492" w:rsidRDefault="00D40DC3" w:rsidP="004531CA">
      <w:pPr>
        <w:jc w:val="both"/>
      </w:pPr>
    </w:p>
    <w:tbl>
      <w:tblPr>
        <w:tblW w:w="12632" w:type="dxa"/>
        <w:tblInd w:w="-497" w:type="dxa"/>
        <w:tblCellMar>
          <w:left w:w="70" w:type="dxa"/>
          <w:right w:w="70" w:type="dxa"/>
        </w:tblCellMar>
        <w:tblLook w:val="04A0" w:firstRow="1" w:lastRow="0" w:firstColumn="1" w:lastColumn="0" w:noHBand="0" w:noVBand="1"/>
      </w:tblPr>
      <w:tblGrid>
        <w:gridCol w:w="552"/>
        <w:gridCol w:w="1060"/>
        <w:gridCol w:w="1790"/>
        <w:gridCol w:w="1985"/>
        <w:gridCol w:w="1758"/>
        <w:gridCol w:w="1854"/>
        <w:gridCol w:w="3633"/>
      </w:tblGrid>
      <w:tr w:rsidR="004531CA" w:rsidTr="00D40DC3">
        <w:trPr>
          <w:trHeight w:val="291"/>
        </w:trPr>
        <w:tc>
          <w:tcPr>
            <w:tcW w:w="12632" w:type="dxa"/>
            <w:gridSpan w:val="7"/>
            <w:tcBorders>
              <w:top w:val="nil"/>
              <w:left w:val="nil"/>
              <w:bottom w:val="nil"/>
              <w:right w:val="nil"/>
            </w:tcBorders>
            <w:shd w:val="clear" w:color="auto" w:fill="auto"/>
            <w:noWrap/>
            <w:vAlign w:val="bottom"/>
          </w:tcPr>
          <w:p w:rsidR="004531CA" w:rsidRPr="003665AB" w:rsidRDefault="004531CA" w:rsidP="00A92A6E">
            <w:pPr>
              <w:jc w:val="center"/>
            </w:pPr>
          </w:p>
        </w:tc>
      </w:tr>
      <w:tr w:rsidR="00D40DC3" w:rsidRPr="00D40DC3" w:rsidTr="00D40DC3">
        <w:tblPrEx>
          <w:tblCellMar>
            <w:left w:w="108" w:type="dxa"/>
            <w:right w:w="108" w:type="dxa"/>
          </w:tblCellMar>
        </w:tblPrEx>
        <w:trPr>
          <w:gridBefore w:val="1"/>
          <w:gridAfter w:val="1"/>
          <w:wBefore w:w="552" w:type="dxa"/>
          <w:wAfter w:w="3633" w:type="dxa"/>
          <w:trHeight w:val="885"/>
        </w:trPr>
        <w:tc>
          <w:tcPr>
            <w:tcW w:w="1060" w:type="dxa"/>
            <w:vMerge w:val="restart"/>
            <w:tcBorders>
              <w:top w:val="single" w:sz="12" w:space="0" w:color="auto"/>
              <w:left w:val="single" w:sz="12" w:space="0" w:color="auto"/>
              <w:bottom w:val="nil"/>
              <w:right w:val="single" w:sz="4" w:space="0" w:color="auto"/>
            </w:tcBorders>
            <w:shd w:val="clear" w:color="auto" w:fill="auto"/>
            <w:noWrap/>
            <w:vAlign w:val="center"/>
            <w:hideMark/>
          </w:tcPr>
          <w:p w:rsidR="00D40DC3" w:rsidRPr="00D40DC3" w:rsidRDefault="00D40DC3" w:rsidP="00D40DC3">
            <w:pPr>
              <w:jc w:val="center"/>
              <w:rPr>
                <w:color w:val="000000"/>
                <w:lang w:val="en-GB" w:eastAsia="en-GB"/>
              </w:rPr>
            </w:pPr>
            <w:proofErr w:type="spellStart"/>
            <w:r w:rsidRPr="00D40DC3">
              <w:rPr>
                <w:color w:val="000000"/>
                <w:lang w:val="en-GB" w:eastAsia="en-GB"/>
              </w:rPr>
              <w:t>Месец</w:t>
            </w:r>
            <w:proofErr w:type="spellEnd"/>
          </w:p>
        </w:tc>
        <w:tc>
          <w:tcPr>
            <w:tcW w:w="1790" w:type="dxa"/>
            <w:tcBorders>
              <w:top w:val="single" w:sz="12" w:space="0" w:color="auto"/>
              <w:left w:val="nil"/>
              <w:bottom w:val="single" w:sz="12" w:space="0" w:color="auto"/>
              <w:right w:val="single" w:sz="4" w:space="0" w:color="auto"/>
            </w:tcBorders>
            <w:shd w:val="clear" w:color="auto" w:fill="auto"/>
            <w:vAlign w:val="center"/>
            <w:hideMark/>
          </w:tcPr>
          <w:p w:rsidR="00D40DC3" w:rsidRPr="00D40DC3" w:rsidRDefault="00D40DC3" w:rsidP="00D40DC3">
            <w:pPr>
              <w:jc w:val="center"/>
              <w:rPr>
                <w:color w:val="000000"/>
                <w:lang w:val="en-GB" w:eastAsia="en-GB"/>
              </w:rPr>
            </w:pPr>
            <w:proofErr w:type="spellStart"/>
            <w:r w:rsidRPr="00D40DC3">
              <w:rPr>
                <w:color w:val="000000"/>
                <w:lang w:val="en-GB" w:eastAsia="en-GB"/>
              </w:rPr>
              <w:t>Върхова</w:t>
            </w:r>
            <w:proofErr w:type="spellEnd"/>
            <w:r w:rsidRPr="00D40DC3">
              <w:rPr>
                <w:color w:val="000000"/>
                <w:lang w:val="en-GB" w:eastAsia="en-GB"/>
              </w:rPr>
              <w:t xml:space="preserve">  </w:t>
            </w:r>
            <w:proofErr w:type="spellStart"/>
            <w:r w:rsidRPr="00D40DC3">
              <w:rPr>
                <w:color w:val="000000"/>
                <w:lang w:val="en-GB" w:eastAsia="en-GB"/>
              </w:rPr>
              <w:t>енергия</w:t>
            </w:r>
            <w:proofErr w:type="spellEnd"/>
            <w:r w:rsidRPr="00D40DC3">
              <w:rPr>
                <w:color w:val="000000"/>
                <w:lang w:val="en-GB" w:eastAsia="en-GB"/>
              </w:rPr>
              <w:t xml:space="preserve"> [KWh]</w:t>
            </w:r>
          </w:p>
        </w:tc>
        <w:tc>
          <w:tcPr>
            <w:tcW w:w="1985" w:type="dxa"/>
            <w:tcBorders>
              <w:top w:val="single" w:sz="12" w:space="0" w:color="auto"/>
              <w:left w:val="nil"/>
              <w:bottom w:val="single" w:sz="12" w:space="0" w:color="auto"/>
              <w:right w:val="single" w:sz="4" w:space="0" w:color="auto"/>
            </w:tcBorders>
            <w:shd w:val="clear" w:color="auto" w:fill="auto"/>
            <w:vAlign w:val="center"/>
            <w:hideMark/>
          </w:tcPr>
          <w:p w:rsidR="00D40DC3" w:rsidRPr="00D40DC3" w:rsidRDefault="00D40DC3" w:rsidP="00D40DC3">
            <w:pPr>
              <w:jc w:val="center"/>
              <w:rPr>
                <w:color w:val="000000"/>
                <w:lang w:val="en-GB" w:eastAsia="en-GB"/>
              </w:rPr>
            </w:pPr>
            <w:proofErr w:type="spellStart"/>
            <w:r w:rsidRPr="00D40DC3">
              <w:rPr>
                <w:color w:val="000000"/>
                <w:lang w:val="en-GB" w:eastAsia="en-GB"/>
              </w:rPr>
              <w:t>Дневна</w:t>
            </w:r>
            <w:proofErr w:type="spellEnd"/>
            <w:r w:rsidRPr="00D40DC3">
              <w:rPr>
                <w:color w:val="000000"/>
                <w:lang w:val="en-GB" w:eastAsia="en-GB"/>
              </w:rPr>
              <w:t xml:space="preserve">  </w:t>
            </w:r>
            <w:proofErr w:type="spellStart"/>
            <w:r w:rsidRPr="00D40DC3">
              <w:rPr>
                <w:color w:val="000000"/>
                <w:lang w:val="en-GB" w:eastAsia="en-GB"/>
              </w:rPr>
              <w:t>енергия</w:t>
            </w:r>
            <w:proofErr w:type="spellEnd"/>
            <w:r w:rsidRPr="00D40DC3">
              <w:rPr>
                <w:color w:val="000000"/>
                <w:lang w:val="en-GB" w:eastAsia="en-GB"/>
              </w:rPr>
              <w:t xml:space="preserve"> </w:t>
            </w:r>
            <w:r w:rsidRPr="00D40DC3">
              <w:rPr>
                <w:color w:val="000000"/>
                <w:lang w:val="en-GB" w:eastAsia="en-GB"/>
              </w:rPr>
              <w:br/>
              <w:t>[KWh]</w:t>
            </w:r>
          </w:p>
        </w:tc>
        <w:tc>
          <w:tcPr>
            <w:tcW w:w="1758" w:type="dxa"/>
            <w:tcBorders>
              <w:top w:val="single" w:sz="12" w:space="0" w:color="auto"/>
              <w:left w:val="nil"/>
              <w:bottom w:val="single" w:sz="12" w:space="0" w:color="auto"/>
              <w:right w:val="single" w:sz="4" w:space="0" w:color="auto"/>
            </w:tcBorders>
            <w:shd w:val="clear" w:color="auto" w:fill="auto"/>
            <w:vAlign w:val="center"/>
            <w:hideMark/>
          </w:tcPr>
          <w:p w:rsidR="00D40DC3" w:rsidRPr="00D40DC3" w:rsidRDefault="00D40DC3" w:rsidP="00D40DC3">
            <w:pPr>
              <w:jc w:val="center"/>
              <w:rPr>
                <w:color w:val="000000"/>
                <w:lang w:val="en-GB" w:eastAsia="en-GB"/>
              </w:rPr>
            </w:pPr>
            <w:proofErr w:type="spellStart"/>
            <w:r w:rsidRPr="00D40DC3">
              <w:rPr>
                <w:color w:val="000000"/>
                <w:lang w:val="en-GB" w:eastAsia="en-GB"/>
              </w:rPr>
              <w:t>Нощна</w:t>
            </w:r>
            <w:proofErr w:type="spellEnd"/>
            <w:r w:rsidRPr="00D40DC3">
              <w:rPr>
                <w:color w:val="000000"/>
                <w:lang w:val="en-GB" w:eastAsia="en-GB"/>
              </w:rPr>
              <w:t xml:space="preserve">  </w:t>
            </w:r>
            <w:proofErr w:type="spellStart"/>
            <w:r w:rsidRPr="00D40DC3">
              <w:rPr>
                <w:color w:val="000000"/>
                <w:lang w:val="en-GB" w:eastAsia="en-GB"/>
              </w:rPr>
              <w:t>енергия</w:t>
            </w:r>
            <w:proofErr w:type="spellEnd"/>
            <w:r w:rsidRPr="00D40DC3">
              <w:rPr>
                <w:color w:val="000000"/>
                <w:lang w:val="en-GB" w:eastAsia="en-GB"/>
              </w:rPr>
              <w:t xml:space="preserve"> </w:t>
            </w:r>
            <w:r w:rsidRPr="00D40DC3">
              <w:rPr>
                <w:color w:val="000000"/>
                <w:lang w:val="en-GB" w:eastAsia="en-GB"/>
              </w:rPr>
              <w:br/>
              <w:t>[KWh]</w:t>
            </w:r>
          </w:p>
        </w:tc>
        <w:tc>
          <w:tcPr>
            <w:tcW w:w="1854" w:type="dxa"/>
            <w:tcBorders>
              <w:top w:val="single" w:sz="12" w:space="0" w:color="auto"/>
              <w:left w:val="nil"/>
              <w:bottom w:val="single" w:sz="12" w:space="0" w:color="auto"/>
              <w:right w:val="single" w:sz="12" w:space="0" w:color="auto"/>
            </w:tcBorders>
            <w:shd w:val="clear" w:color="auto" w:fill="auto"/>
            <w:vAlign w:val="center"/>
            <w:hideMark/>
          </w:tcPr>
          <w:p w:rsidR="00D40DC3" w:rsidRPr="00D40DC3" w:rsidRDefault="00D40DC3" w:rsidP="00D40DC3">
            <w:pPr>
              <w:jc w:val="center"/>
              <w:rPr>
                <w:color w:val="000000"/>
                <w:lang w:val="en-GB" w:eastAsia="en-GB"/>
              </w:rPr>
            </w:pPr>
            <w:proofErr w:type="spellStart"/>
            <w:r w:rsidRPr="00D40DC3">
              <w:rPr>
                <w:color w:val="000000"/>
                <w:lang w:val="en-GB" w:eastAsia="en-GB"/>
              </w:rPr>
              <w:t>Всичко</w:t>
            </w:r>
            <w:proofErr w:type="spellEnd"/>
            <w:r w:rsidRPr="00D40DC3">
              <w:rPr>
                <w:color w:val="000000"/>
                <w:lang w:val="en-GB" w:eastAsia="en-GB"/>
              </w:rPr>
              <w:br/>
              <w:t>[KWh]</w:t>
            </w:r>
          </w:p>
        </w:tc>
      </w:tr>
      <w:tr w:rsidR="00D40DC3" w:rsidRPr="00D40DC3" w:rsidTr="00D40DC3">
        <w:tblPrEx>
          <w:tblCellMar>
            <w:left w:w="108" w:type="dxa"/>
            <w:right w:w="108" w:type="dxa"/>
          </w:tblCellMar>
        </w:tblPrEx>
        <w:trPr>
          <w:gridBefore w:val="1"/>
          <w:gridAfter w:val="1"/>
          <w:wBefore w:w="552" w:type="dxa"/>
          <w:wAfter w:w="3633" w:type="dxa"/>
          <w:trHeight w:val="450"/>
        </w:trPr>
        <w:tc>
          <w:tcPr>
            <w:tcW w:w="1060" w:type="dxa"/>
            <w:vMerge/>
            <w:tcBorders>
              <w:top w:val="single" w:sz="12" w:space="0" w:color="auto"/>
              <w:left w:val="single" w:sz="12" w:space="0" w:color="auto"/>
              <w:bottom w:val="nil"/>
              <w:right w:val="single" w:sz="4" w:space="0" w:color="auto"/>
            </w:tcBorders>
            <w:vAlign w:val="center"/>
            <w:hideMark/>
          </w:tcPr>
          <w:p w:rsidR="00D40DC3" w:rsidRPr="00D40DC3" w:rsidRDefault="00D40DC3" w:rsidP="00D40DC3">
            <w:pPr>
              <w:rPr>
                <w:color w:val="000000"/>
                <w:lang w:val="en-GB" w:eastAsia="en-GB"/>
              </w:rPr>
            </w:pPr>
          </w:p>
        </w:tc>
        <w:tc>
          <w:tcPr>
            <w:tcW w:w="1790" w:type="dxa"/>
            <w:tcBorders>
              <w:top w:val="nil"/>
              <w:left w:val="nil"/>
              <w:bottom w:val="nil"/>
              <w:right w:val="single" w:sz="4" w:space="0" w:color="auto"/>
            </w:tcBorders>
            <w:shd w:val="clear" w:color="auto" w:fill="auto"/>
            <w:vAlign w:val="center"/>
            <w:hideMark/>
          </w:tcPr>
          <w:p w:rsidR="00D40DC3" w:rsidRPr="00D40DC3" w:rsidRDefault="00D40DC3" w:rsidP="00D40DC3">
            <w:pPr>
              <w:jc w:val="center"/>
              <w:rPr>
                <w:color w:val="000000"/>
                <w:lang w:val="en-GB" w:eastAsia="en-GB"/>
              </w:rPr>
            </w:pPr>
            <w:proofErr w:type="spellStart"/>
            <w:r w:rsidRPr="00D40DC3">
              <w:rPr>
                <w:color w:val="000000"/>
                <w:lang w:val="en-GB" w:eastAsia="en-GB"/>
              </w:rPr>
              <w:t>Общо</w:t>
            </w:r>
            <w:proofErr w:type="spellEnd"/>
          </w:p>
        </w:tc>
        <w:tc>
          <w:tcPr>
            <w:tcW w:w="1985" w:type="dxa"/>
            <w:tcBorders>
              <w:top w:val="nil"/>
              <w:left w:val="nil"/>
              <w:bottom w:val="nil"/>
              <w:right w:val="single" w:sz="4" w:space="0" w:color="auto"/>
            </w:tcBorders>
            <w:shd w:val="clear" w:color="auto" w:fill="auto"/>
            <w:vAlign w:val="center"/>
            <w:hideMark/>
          </w:tcPr>
          <w:p w:rsidR="00D40DC3" w:rsidRPr="00D40DC3" w:rsidRDefault="00D40DC3" w:rsidP="00D40DC3">
            <w:pPr>
              <w:jc w:val="center"/>
              <w:rPr>
                <w:color w:val="000000"/>
                <w:lang w:val="en-GB" w:eastAsia="en-GB"/>
              </w:rPr>
            </w:pPr>
            <w:proofErr w:type="spellStart"/>
            <w:r w:rsidRPr="00D40DC3">
              <w:rPr>
                <w:color w:val="000000"/>
                <w:lang w:val="en-GB" w:eastAsia="en-GB"/>
              </w:rPr>
              <w:t>Общо</w:t>
            </w:r>
            <w:proofErr w:type="spellEnd"/>
          </w:p>
        </w:tc>
        <w:tc>
          <w:tcPr>
            <w:tcW w:w="1758" w:type="dxa"/>
            <w:tcBorders>
              <w:top w:val="nil"/>
              <w:left w:val="nil"/>
              <w:bottom w:val="nil"/>
              <w:right w:val="single" w:sz="4" w:space="0" w:color="auto"/>
            </w:tcBorders>
            <w:shd w:val="clear" w:color="auto" w:fill="auto"/>
            <w:vAlign w:val="center"/>
            <w:hideMark/>
          </w:tcPr>
          <w:p w:rsidR="00D40DC3" w:rsidRPr="00D40DC3" w:rsidRDefault="00D40DC3" w:rsidP="00D40DC3">
            <w:pPr>
              <w:jc w:val="center"/>
              <w:rPr>
                <w:color w:val="000000"/>
                <w:lang w:val="en-GB" w:eastAsia="en-GB"/>
              </w:rPr>
            </w:pPr>
            <w:proofErr w:type="spellStart"/>
            <w:r w:rsidRPr="00D40DC3">
              <w:rPr>
                <w:color w:val="000000"/>
                <w:lang w:val="en-GB" w:eastAsia="en-GB"/>
              </w:rPr>
              <w:t>Общо</w:t>
            </w:r>
            <w:proofErr w:type="spellEnd"/>
          </w:p>
        </w:tc>
        <w:tc>
          <w:tcPr>
            <w:tcW w:w="1854" w:type="dxa"/>
            <w:tcBorders>
              <w:top w:val="nil"/>
              <w:left w:val="nil"/>
              <w:bottom w:val="nil"/>
              <w:right w:val="single" w:sz="12" w:space="0" w:color="auto"/>
            </w:tcBorders>
            <w:shd w:val="clear" w:color="auto" w:fill="auto"/>
            <w:vAlign w:val="center"/>
            <w:hideMark/>
          </w:tcPr>
          <w:p w:rsidR="00D40DC3" w:rsidRPr="00D40DC3" w:rsidRDefault="00D40DC3" w:rsidP="00D40DC3">
            <w:pPr>
              <w:jc w:val="center"/>
              <w:rPr>
                <w:color w:val="000000"/>
                <w:lang w:val="en-GB" w:eastAsia="en-GB"/>
              </w:rPr>
            </w:pPr>
            <w:r w:rsidRPr="00D40DC3">
              <w:rPr>
                <w:color w:val="000000"/>
                <w:lang w:val="en-GB" w:eastAsia="en-GB"/>
              </w:rPr>
              <w:t> </w:t>
            </w:r>
          </w:p>
        </w:tc>
      </w:tr>
      <w:tr w:rsidR="00D40DC3" w:rsidRPr="00D40DC3" w:rsidTr="00D40DC3">
        <w:tblPrEx>
          <w:tblCellMar>
            <w:left w:w="108" w:type="dxa"/>
            <w:right w:w="108" w:type="dxa"/>
          </w:tblCellMar>
        </w:tblPrEx>
        <w:trPr>
          <w:gridBefore w:val="1"/>
          <w:gridAfter w:val="1"/>
          <w:wBefore w:w="552" w:type="dxa"/>
          <w:wAfter w:w="3633" w:type="dxa"/>
          <w:trHeight w:val="300"/>
        </w:trPr>
        <w:tc>
          <w:tcPr>
            <w:tcW w:w="106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center"/>
              <w:rPr>
                <w:color w:val="000000"/>
                <w:lang w:val="en-GB" w:eastAsia="en-GB"/>
              </w:rPr>
            </w:pPr>
            <w:r w:rsidRPr="00D40DC3">
              <w:rPr>
                <w:color w:val="000000"/>
                <w:lang w:val="en-GB" w:eastAsia="en-GB"/>
              </w:rPr>
              <w:t>I</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102980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166710</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103220</w:t>
            </w:r>
          </w:p>
        </w:tc>
        <w:tc>
          <w:tcPr>
            <w:tcW w:w="1854" w:type="dxa"/>
            <w:tcBorders>
              <w:top w:val="single" w:sz="4" w:space="0" w:color="auto"/>
              <w:left w:val="nil"/>
              <w:bottom w:val="single" w:sz="4" w:space="0" w:color="auto"/>
              <w:right w:val="single" w:sz="12" w:space="0" w:color="auto"/>
            </w:tcBorders>
            <w:shd w:val="clear" w:color="auto" w:fill="auto"/>
            <w:noWrap/>
            <w:vAlign w:val="bottom"/>
            <w:hideMark/>
          </w:tcPr>
          <w:p w:rsidR="00D40DC3" w:rsidRPr="00D40DC3" w:rsidRDefault="00D40DC3" w:rsidP="00D40DC3">
            <w:pPr>
              <w:jc w:val="right"/>
              <w:rPr>
                <w:color w:val="FF0000"/>
                <w:lang w:val="en-GB" w:eastAsia="en-GB"/>
              </w:rPr>
            </w:pPr>
            <w:r w:rsidRPr="00D40DC3">
              <w:rPr>
                <w:color w:val="FF0000"/>
                <w:lang w:val="en-GB" w:eastAsia="en-GB"/>
              </w:rPr>
              <w:t>372910</w:t>
            </w:r>
          </w:p>
        </w:tc>
      </w:tr>
      <w:tr w:rsidR="00D40DC3" w:rsidRPr="00D40DC3" w:rsidTr="00D40DC3">
        <w:tblPrEx>
          <w:tblCellMar>
            <w:left w:w="108" w:type="dxa"/>
            <w:right w:w="108" w:type="dxa"/>
          </w:tblCellMar>
        </w:tblPrEx>
        <w:trPr>
          <w:gridBefore w:val="1"/>
          <w:gridAfter w:val="1"/>
          <w:wBefore w:w="552" w:type="dxa"/>
          <w:wAfter w:w="3633" w:type="dxa"/>
          <w:trHeight w:val="300"/>
        </w:trPr>
        <w:tc>
          <w:tcPr>
            <w:tcW w:w="1060" w:type="dxa"/>
            <w:tcBorders>
              <w:top w:val="nil"/>
              <w:left w:val="single" w:sz="12"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center"/>
              <w:rPr>
                <w:color w:val="000000"/>
                <w:lang w:val="en-GB" w:eastAsia="en-GB"/>
              </w:rPr>
            </w:pPr>
            <w:r w:rsidRPr="00D40DC3">
              <w:rPr>
                <w:color w:val="000000"/>
                <w:lang w:val="en-GB" w:eastAsia="en-GB"/>
              </w:rPr>
              <w:t>II</w:t>
            </w:r>
          </w:p>
        </w:tc>
        <w:tc>
          <w:tcPr>
            <w:tcW w:w="1790"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91060</w:t>
            </w:r>
          </w:p>
        </w:tc>
        <w:tc>
          <w:tcPr>
            <w:tcW w:w="1985"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147690</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91770</w:t>
            </w:r>
          </w:p>
        </w:tc>
        <w:tc>
          <w:tcPr>
            <w:tcW w:w="1854" w:type="dxa"/>
            <w:tcBorders>
              <w:top w:val="nil"/>
              <w:left w:val="nil"/>
              <w:bottom w:val="single" w:sz="4" w:space="0" w:color="auto"/>
              <w:right w:val="single" w:sz="12" w:space="0" w:color="auto"/>
            </w:tcBorders>
            <w:shd w:val="clear" w:color="auto" w:fill="auto"/>
            <w:noWrap/>
            <w:vAlign w:val="bottom"/>
            <w:hideMark/>
          </w:tcPr>
          <w:p w:rsidR="00D40DC3" w:rsidRPr="00D40DC3" w:rsidRDefault="00D40DC3" w:rsidP="00D40DC3">
            <w:pPr>
              <w:jc w:val="right"/>
              <w:rPr>
                <w:color w:val="FF0000"/>
                <w:lang w:val="en-GB" w:eastAsia="en-GB"/>
              </w:rPr>
            </w:pPr>
            <w:r w:rsidRPr="00D40DC3">
              <w:rPr>
                <w:color w:val="FF0000"/>
                <w:lang w:val="en-GB" w:eastAsia="en-GB"/>
              </w:rPr>
              <w:t>330520</w:t>
            </w:r>
          </w:p>
        </w:tc>
      </w:tr>
      <w:tr w:rsidR="00D40DC3" w:rsidRPr="00D40DC3" w:rsidTr="00D40DC3">
        <w:tblPrEx>
          <w:tblCellMar>
            <w:left w:w="108" w:type="dxa"/>
            <w:right w:w="108" w:type="dxa"/>
          </w:tblCellMar>
        </w:tblPrEx>
        <w:trPr>
          <w:gridBefore w:val="1"/>
          <w:gridAfter w:val="1"/>
          <w:wBefore w:w="552" w:type="dxa"/>
          <w:wAfter w:w="3633" w:type="dxa"/>
          <w:trHeight w:val="300"/>
        </w:trPr>
        <w:tc>
          <w:tcPr>
            <w:tcW w:w="1060" w:type="dxa"/>
            <w:tcBorders>
              <w:top w:val="nil"/>
              <w:left w:val="single" w:sz="12"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center"/>
              <w:rPr>
                <w:color w:val="000000"/>
                <w:lang w:val="en-GB" w:eastAsia="en-GB"/>
              </w:rPr>
            </w:pPr>
            <w:r w:rsidRPr="00D40DC3">
              <w:rPr>
                <w:color w:val="000000"/>
                <w:lang w:val="en-GB" w:eastAsia="en-GB"/>
              </w:rPr>
              <w:t>III</w:t>
            </w:r>
          </w:p>
        </w:tc>
        <w:tc>
          <w:tcPr>
            <w:tcW w:w="1790"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95540</w:t>
            </w:r>
          </w:p>
        </w:tc>
        <w:tc>
          <w:tcPr>
            <w:tcW w:w="1985"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156210</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96250</w:t>
            </w:r>
          </w:p>
        </w:tc>
        <w:tc>
          <w:tcPr>
            <w:tcW w:w="1854" w:type="dxa"/>
            <w:tcBorders>
              <w:top w:val="nil"/>
              <w:left w:val="nil"/>
              <w:bottom w:val="single" w:sz="4" w:space="0" w:color="auto"/>
              <w:right w:val="single" w:sz="12" w:space="0" w:color="auto"/>
            </w:tcBorders>
            <w:shd w:val="clear" w:color="auto" w:fill="auto"/>
            <w:noWrap/>
            <w:vAlign w:val="bottom"/>
            <w:hideMark/>
          </w:tcPr>
          <w:p w:rsidR="00D40DC3" w:rsidRPr="00D40DC3" w:rsidRDefault="00D40DC3" w:rsidP="00D40DC3">
            <w:pPr>
              <w:jc w:val="right"/>
              <w:rPr>
                <w:color w:val="FF0000"/>
                <w:lang w:val="en-GB" w:eastAsia="en-GB"/>
              </w:rPr>
            </w:pPr>
            <w:r w:rsidRPr="00D40DC3">
              <w:rPr>
                <w:color w:val="FF0000"/>
                <w:lang w:val="en-GB" w:eastAsia="en-GB"/>
              </w:rPr>
              <w:t>348000</w:t>
            </w:r>
          </w:p>
        </w:tc>
      </w:tr>
      <w:tr w:rsidR="00D40DC3" w:rsidRPr="00D40DC3" w:rsidTr="00D40DC3">
        <w:tblPrEx>
          <w:tblCellMar>
            <w:left w:w="108" w:type="dxa"/>
            <w:right w:w="108" w:type="dxa"/>
          </w:tblCellMar>
        </w:tblPrEx>
        <w:trPr>
          <w:gridBefore w:val="1"/>
          <w:gridAfter w:val="1"/>
          <w:wBefore w:w="552" w:type="dxa"/>
          <w:wAfter w:w="3633" w:type="dxa"/>
          <w:trHeight w:val="300"/>
        </w:trPr>
        <w:tc>
          <w:tcPr>
            <w:tcW w:w="1060" w:type="dxa"/>
            <w:tcBorders>
              <w:top w:val="nil"/>
              <w:left w:val="single" w:sz="12"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center"/>
              <w:rPr>
                <w:color w:val="000000"/>
                <w:lang w:val="en-GB" w:eastAsia="en-GB"/>
              </w:rPr>
            </w:pPr>
            <w:r w:rsidRPr="00D40DC3">
              <w:rPr>
                <w:color w:val="000000"/>
                <w:lang w:val="en-GB" w:eastAsia="en-GB"/>
              </w:rPr>
              <w:t>IV</w:t>
            </w:r>
          </w:p>
        </w:tc>
        <w:tc>
          <w:tcPr>
            <w:tcW w:w="1790"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86530</w:t>
            </w:r>
          </w:p>
        </w:tc>
        <w:tc>
          <w:tcPr>
            <w:tcW w:w="1985"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129790</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83750</w:t>
            </w:r>
          </w:p>
        </w:tc>
        <w:tc>
          <w:tcPr>
            <w:tcW w:w="1854" w:type="dxa"/>
            <w:tcBorders>
              <w:top w:val="nil"/>
              <w:left w:val="nil"/>
              <w:bottom w:val="single" w:sz="4" w:space="0" w:color="auto"/>
              <w:right w:val="single" w:sz="12" w:space="0" w:color="auto"/>
            </w:tcBorders>
            <w:shd w:val="clear" w:color="auto" w:fill="auto"/>
            <w:noWrap/>
            <w:vAlign w:val="bottom"/>
            <w:hideMark/>
          </w:tcPr>
          <w:p w:rsidR="00D40DC3" w:rsidRPr="00D40DC3" w:rsidRDefault="00D40DC3" w:rsidP="00D40DC3">
            <w:pPr>
              <w:jc w:val="right"/>
              <w:rPr>
                <w:color w:val="FF0000"/>
                <w:lang w:val="en-GB" w:eastAsia="en-GB"/>
              </w:rPr>
            </w:pPr>
            <w:r w:rsidRPr="00D40DC3">
              <w:rPr>
                <w:color w:val="FF0000"/>
                <w:lang w:val="en-GB" w:eastAsia="en-GB"/>
              </w:rPr>
              <w:t>300070</w:t>
            </w:r>
          </w:p>
        </w:tc>
      </w:tr>
      <w:tr w:rsidR="00D40DC3" w:rsidRPr="00D40DC3" w:rsidTr="00D40DC3">
        <w:tblPrEx>
          <w:tblCellMar>
            <w:left w:w="108" w:type="dxa"/>
            <w:right w:w="108" w:type="dxa"/>
          </w:tblCellMar>
        </w:tblPrEx>
        <w:trPr>
          <w:gridBefore w:val="1"/>
          <w:gridAfter w:val="1"/>
          <w:wBefore w:w="552" w:type="dxa"/>
          <w:wAfter w:w="3633" w:type="dxa"/>
          <w:trHeight w:val="300"/>
        </w:trPr>
        <w:tc>
          <w:tcPr>
            <w:tcW w:w="1060" w:type="dxa"/>
            <w:tcBorders>
              <w:top w:val="nil"/>
              <w:left w:val="single" w:sz="12"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center"/>
              <w:rPr>
                <w:color w:val="000000"/>
                <w:lang w:val="en-GB" w:eastAsia="en-GB"/>
              </w:rPr>
            </w:pPr>
            <w:r w:rsidRPr="00D40DC3">
              <w:rPr>
                <w:color w:val="000000"/>
                <w:lang w:val="en-GB" w:eastAsia="en-GB"/>
              </w:rPr>
              <w:t>V</w:t>
            </w:r>
          </w:p>
        </w:tc>
        <w:tc>
          <w:tcPr>
            <w:tcW w:w="1790"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80940</w:t>
            </w:r>
          </w:p>
        </w:tc>
        <w:tc>
          <w:tcPr>
            <w:tcW w:w="1985"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126320</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79770</w:t>
            </w:r>
          </w:p>
        </w:tc>
        <w:tc>
          <w:tcPr>
            <w:tcW w:w="1854" w:type="dxa"/>
            <w:tcBorders>
              <w:top w:val="nil"/>
              <w:left w:val="nil"/>
              <w:bottom w:val="single" w:sz="4" w:space="0" w:color="auto"/>
              <w:right w:val="single" w:sz="12" w:space="0" w:color="auto"/>
            </w:tcBorders>
            <w:shd w:val="clear" w:color="auto" w:fill="auto"/>
            <w:noWrap/>
            <w:vAlign w:val="bottom"/>
            <w:hideMark/>
          </w:tcPr>
          <w:p w:rsidR="00D40DC3" w:rsidRPr="00D40DC3" w:rsidRDefault="00D40DC3" w:rsidP="00D40DC3">
            <w:pPr>
              <w:jc w:val="right"/>
              <w:rPr>
                <w:color w:val="FF0000"/>
                <w:lang w:val="en-GB" w:eastAsia="en-GB"/>
              </w:rPr>
            </w:pPr>
            <w:r w:rsidRPr="00D40DC3">
              <w:rPr>
                <w:color w:val="FF0000"/>
                <w:lang w:val="en-GB" w:eastAsia="en-GB"/>
              </w:rPr>
              <w:t>287030</w:t>
            </w:r>
          </w:p>
        </w:tc>
      </w:tr>
      <w:tr w:rsidR="00D40DC3" w:rsidRPr="00D40DC3" w:rsidTr="00D40DC3">
        <w:tblPrEx>
          <w:tblCellMar>
            <w:left w:w="108" w:type="dxa"/>
            <w:right w:w="108" w:type="dxa"/>
          </w:tblCellMar>
        </w:tblPrEx>
        <w:trPr>
          <w:gridBefore w:val="1"/>
          <w:gridAfter w:val="1"/>
          <w:wBefore w:w="552" w:type="dxa"/>
          <w:wAfter w:w="3633" w:type="dxa"/>
          <w:trHeight w:val="300"/>
        </w:trPr>
        <w:tc>
          <w:tcPr>
            <w:tcW w:w="1060" w:type="dxa"/>
            <w:tcBorders>
              <w:top w:val="nil"/>
              <w:left w:val="single" w:sz="12"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center"/>
              <w:rPr>
                <w:color w:val="000000"/>
                <w:lang w:val="en-GB" w:eastAsia="en-GB"/>
              </w:rPr>
            </w:pPr>
            <w:r w:rsidRPr="00D40DC3">
              <w:rPr>
                <w:color w:val="000000"/>
                <w:lang w:val="en-GB" w:eastAsia="en-GB"/>
              </w:rPr>
              <w:t>VI</w:t>
            </w:r>
          </w:p>
        </w:tc>
        <w:tc>
          <w:tcPr>
            <w:tcW w:w="1790"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79060</w:t>
            </w:r>
          </w:p>
        </w:tc>
        <w:tc>
          <w:tcPr>
            <w:tcW w:w="1985"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122670</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76200</w:t>
            </w:r>
          </w:p>
        </w:tc>
        <w:tc>
          <w:tcPr>
            <w:tcW w:w="1854" w:type="dxa"/>
            <w:tcBorders>
              <w:top w:val="nil"/>
              <w:left w:val="nil"/>
              <w:bottom w:val="single" w:sz="4" w:space="0" w:color="auto"/>
              <w:right w:val="single" w:sz="12" w:space="0" w:color="auto"/>
            </w:tcBorders>
            <w:shd w:val="clear" w:color="auto" w:fill="auto"/>
            <w:noWrap/>
            <w:vAlign w:val="bottom"/>
            <w:hideMark/>
          </w:tcPr>
          <w:p w:rsidR="00D40DC3" w:rsidRPr="00D40DC3" w:rsidRDefault="00D40DC3" w:rsidP="00D40DC3">
            <w:pPr>
              <w:jc w:val="right"/>
              <w:rPr>
                <w:color w:val="FF0000"/>
                <w:lang w:val="en-GB" w:eastAsia="en-GB"/>
              </w:rPr>
            </w:pPr>
            <w:r w:rsidRPr="00D40DC3">
              <w:rPr>
                <w:color w:val="FF0000"/>
                <w:lang w:val="en-GB" w:eastAsia="en-GB"/>
              </w:rPr>
              <w:t>277930</w:t>
            </w:r>
          </w:p>
        </w:tc>
      </w:tr>
      <w:tr w:rsidR="00D40DC3" w:rsidRPr="00D40DC3" w:rsidTr="00D40DC3">
        <w:tblPrEx>
          <w:tblCellMar>
            <w:left w:w="108" w:type="dxa"/>
            <w:right w:w="108" w:type="dxa"/>
          </w:tblCellMar>
        </w:tblPrEx>
        <w:trPr>
          <w:gridBefore w:val="1"/>
          <w:gridAfter w:val="1"/>
          <w:wBefore w:w="552" w:type="dxa"/>
          <w:wAfter w:w="3633" w:type="dxa"/>
          <w:trHeight w:val="300"/>
        </w:trPr>
        <w:tc>
          <w:tcPr>
            <w:tcW w:w="1060" w:type="dxa"/>
            <w:tcBorders>
              <w:top w:val="nil"/>
              <w:left w:val="single" w:sz="12"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center"/>
              <w:rPr>
                <w:color w:val="000000"/>
                <w:lang w:val="en-GB" w:eastAsia="en-GB"/>
              </w:rPr>
            </w:pPr>
            <w:r w:rsidRPr="00D40DC3">
              <w:rPr>
                <w:color w:val="000000"/>
                <w:lang w:val="en-GB" w:eastAsia="en-GB"/>
              </w:rPr>
              <w:t>VII</w:t>
            </w:r>
          </w:p>
        </w:tc>
        <w:tc>
          <w:tcPr>
            <w:tcW w:w="1790"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89070</w:t>
            </w:r>
          </w:p>
        </w:tc>
        <w:tc>
          <w:tcPr>
            <w:tcW w:w="1985"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144950</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86760</w:t>
            </w:r>
          </w:p>
        </w:tc>
        <w:tc>
          <w:tcPr>
            <w:tcW w:w="1854" w:type="dxa"/>
            <w:tcBorders>
              <w:top w:val="nil"/>
              <w:left w:val="nil"/>
              <w:bottom w:val="single" w:sz="4" w:space="0" w:color="auto"/>
              <w:right w:val="single" w:sz="12" w:space="0" w:color="auto"/>
            </w:tcBorders>
            <w:shd w:val="clear" w:color="auto" w:fill="auto"/>
            <w:noWrap/>
            <w:vAlign w:val="bottom"/>
            <w:hideMark/>
          </w:tcPr>
          <w:p w:rsidR="00D40DC3" w:rsidRPr="00D40DC3" w:rsidRDefault="00D40DC3" w:rsidP="00D40DC3">
            <w:pPr>
              <w:jc w:val="right"/>
              <w:rPr>
                <w:color w:val="FF0000"/>
                <w:lang w:val="en-GB" w:eastAsia="en-GB"/>
              </w:rPr>
            </w:pPr>
            <w:r w:rsidRPr="00D40DC3">
              <w:rPr>
                <w:color w:val="FF0000"/>
                <w:lang w:val="en-GB" w:eastAsia="en-GB"/>
              </w:rPr>
              <w:t>320780</w:t>
            </w:r>
          </w:p>
        </w:tc>
      </w:tr>
      <w:tr w:rsidR="00D40DC3" w:rsidRPr="00D40DC3" w:rsidTr="00D40DC3">
        <w:tblPrEx>
          <w:tblCellMar>
            <w:left w:w="108" w:type="dxa"/>
            <w:right w:w="108" w:type="dxa"/>
          </w:tblCellMar>
        </w:tblPrEx>
        <w:trPr>
          <w:gridBefore w:val="1"/>
          <w:gridAfter w:val="1"/>
          <w:wBefore w:w="552" w:type="dxa"/>
          <w:wAfter w:w="3633" w:type="dxa"/>
          <w:trHeight w:val="300"/>
        </w:trPr>
        <w:tc>
          <w:tcPr>
            <w:tcW w:w="1060" w:type="dxa"/>
            <w:tcBorders>
              <w:top w:val="nil"/>
              <w:left w:val="single" w:sz="12"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center"/>
              <w:rPr>
                <w:color w:val="000000"/>
                <w:lang w:val="en-GB" w:eastAsia="en-GB"/>
              </w:rPr>
            </w:pPr>
            <w:r w:rsidRPr="00D40DC3">
              <w:rPr>
                <w:color w:val="000000"/>
                <w:lang w:val="en-GB" w:eastAsia="en-GB"/>
              </w:rPr>
              <w:t>VIII</w:t>
            </w:r>
          </w:p>
        </w:tc>
        <w:tc>
          <w:tcPr>
            <w:tcW w:w="1790"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66800</w:t>
            </w:r>
          </w:p>
        </w:tc>
        <w:tc>
          <w:tcPr>
            <w:tcW w:w="1985"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108000</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78330</w:t>
            </w:r>
          </w:p>
        </w:tc>
        <w:tc>
          <w:tcPr>
            <w:tcW w:w="1854" w:type="dxa"/>
            <w:tcBorders>
              <w:top w:val="nil"/>
              <w:left w:val="nil"/>
              <w:bottom w:val="single" w:sz="4" w:space="0" w:color="auto"/>
              <w:right w:val="single" w:sz="12" w:space="0" w:color="auto"/>
            </w:tcBorders>
            <w:shd w:val="clear" w:color="auto" w:fill="auto"/>
            <w:noWrap/>
            <w:vAlign w:val="bottom"/>
            <w:hideMark/>
          </w:tcPr>
          <w:p w:rsidR="00D40DC3" w:rsidRPr="00D40DC3" w:rsidRDefault="00D40DC3" w:rsidP="00D40DC3">
            <w:pPr>
              <w:jc w:val="right"/>
              <w:rPr>
                <w:color w:val="FF0000"/>
                <w:lang w:val="en-GB" w:eastAsia="en-GB"/>
              </w:rPr>
            </w:pPr>
            <w:r w:rsidRPr="00D40DC3">
              <w:rPr>
                <w:color w:val="FF0000"/>
                <w:lang w:val="en-GB" w:eastAsia="en-GB"/>
              </w:rPr>
              <w:t>253130</w:t>
            </w:r>
          </w:p>
        </w:tc>
      </w:tr>
      <w:tr w:rsidR="00D40DC3" w:rsidRPr="00D40DC3" w:rsidTr="00D40DC3">
        <w:tblPrEx>
          <w:tblCellMar>
            <w:left w:w="108" w:type="dxa"/>
            <w:right w:w="108" w:type="dxa"/>
          </w:tblCellMar>
        </w:tblPrEx>
        <w:trPr>
          <w:gridBefore w:val="1"/>
          <w:gridAfter w:val="1"/>
          <w:wBefore w:w="552" w:type="dxa"/>
          <w:wAfter w:w="3633" w:type="dxa"/>
          <w:trHeight w:val="300"/>
        </w:trPr>
        <w:tc>
          <w:tcPr>
            <w:tcW w:w="1060" w:type="dxa"/>
            <w:tcBorders>
              <w:top w:val="nil"/>
              <w:left w:val="single" w:sz="12"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center"/>
              <w:rPr>
                <w:color w:val="000000"/>
                <w:lang w:val="en-GB" w:eastAsia="en-GB"/>
              </w:rPr>
            </w:pPr>
            <w:r w:rsidRPr="00D40DC3">
              <w:rPr>
                <w:color w:val="000000"/>
                <w:lang w:val="en-GB" w:eastAsia="en-GB"/>
              </w:rPr>
              <w:t>IX</w:t>
            </w:r>
          </w:p>
        </w:tc>
        <w:tc>
          <w:tcPr>
            <w:tcW w:w="1790"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81580</w:t>
            </w:r>
          </w:p>
        </w:tc>
        <w:tc>
          <w:tcPr>
            <w:tcW w:w="1985"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127610</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79910</w:t>
            </w:r>
          </w:p>
        </w:tc>
        <w:tc>
          <w:tcPr>
            <w:tcW w:w="1854" w:type="dxa"/>
            <w:tcBorders>
              <w:top w:val="nil"/>
              <w:left w:val="nil"/>
              <w:bottom w:val="single" w:sz="4" w:space="0" w:color="auto"/>
              <w:right w:val="single" w:sz="12" w:space="0" w:color="auto"/>
            </w:tcBorders>
            <w:shd w:val="clear" w:color="auto" w:fill="auto"/>
            <w:noWrap/>
            <w:vAlign w:val="bottom"/>
            <w:hideMark/>
          </w:tcPr>
          <w:p w:rsidR="00D40DC3" w:rsidRPr="00D40DC3" w:rsidRDefault="00D40DC3" w:rsidP="00D40DC3">
            <w:pPr>
              <w:jc w:val="right"/>
              <w:rPr>
                <w:color w:val="FF0000"/>
                <w:lang w:val="en-GB" w:eastAsia="en-GB"/>
              </w:rPr>
            </w:pPr>
            <w:r w:rsidRPr="00D40DC3">
              <w:rPr>
                <w:color w:val="FF0000"/>
                <w:lang w:val="en-GB" w:eastAsia="en-GB"/>
              </w:rPr>
              <w:t>289100</w:t>
            </w:r>
          </w:p>
        </w:tc>
      </w:tr>
      <w:tr w:rsidR="00D40DC3" w:rsidRPr="00D40DC3" w:rsidTr="00D40DC3">
        <w:tblPrEx>
          <w:tblCellMar>
            <w:left w:w="108" w:type="dxa"/>
            <w:right w:w="108" w:type="dxa"/>
          </w:tblCellMar>
        </w:tblPrEx>
        <w:trPr>
          <w:gridBefore w:val="1"/>
          <w:gridAfter w:val="1"/>
          <w:wBefore w:w="552" w:type="dxa"/>
          <w:wAfter w:w="3633" w:type="dxa"/>
          <w:trHeight w:val="300"/>
        </w:trPr>
        <w:tc>
          <w:tcPr>
            <w:tcW w:w="1060" w:type="dxa"/>
            <w:tcBorders>
              <w:top w:val="nil"/>
              <w:left w:val="single" w:sz="12"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center"/>
              <w:rPr>
                <w:color w:val="000000"/>
                <w:lang w:val="en-GB" w:eastAsia="en-GB"/>
              </w:rPr>
            </w:pPr>
            <w:r w:rsidRPr="00D40DC3">
              <w:rPr>
                <w:color w:val="000000"/>
                <w:lang w:val="en-GB" w:eastAsia="en-GB"/>
              </w:rPr>
              <w:t>X</w:t>
            </w:r>
          </w:p>
        </w:tc>
        <w:tc>
          <w:tcPr>
            <w:tcW w:w="1790"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92970</w:t>
            </w:r>
          </w:p>
        </w:tc>
        <w:tc>
          <w:tcPr>
            <w:tcW w:w="1985"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140080</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87120</w:t>
            </w:r>
          </w:p>
        </w:tc>
        <w:tc>
          <w:tcPr>
            <w:tcW w:w="1854" w:type="dxa"/>
            <w:tcBorders>
              <w:top w:val="nil"/>
              <w:left w:val="nil"/>
              <w:bottom w:val="single" w:sz="4" w:space="0" w:color="auto"/>
              <w:right w:val="single" w:sz="12" w:space="0" w:color="auto"/>
            </w:tcBorders>
            <w:shd w:val="clear" w:color="auto" w:fill="auto"/>
            <w:noWrap/>
            <w:vAlign w:val="bottom"/>
            <w:hideMark/>
          </w:tcPr>
          <w:p w:rsidR="00D40DC3" w:rsidRPr="00D40DC3" w:rsidRDefault="00D40DC3" w:rsidP="00D40DC3">
            <w:pPr>
              <w:jc w:val="right"/>
              <w:rPr>
                <w:color w:val="FF0000"/>
                <w:lang w:val="en-GB" w:eastAsia="en-GB"/>
              </w:rPr>
            </w:pPr>
            <w:r w:rsidRPr="00D40DC3">
              <w:rPr>
                <w:color w:val="FF0000"/>
                <w:lang w:val="en-GB" w:eastAsia="en-GB"/>
              </w:rPr>
              <w:t>320170</w:t>
            </w:r>
          </w:p>
        </w:tc>
      </w:tr>
      <w:tr w:rsidR="00D40DC3" w:rsidRPr="00D40DC3" w:rsidTr="00D40DC3">
        <w:tblPrEx>
          <w:tblCellMar>
            <w:left w:w="108" w:type="dxa"/>
            <w:right w:w="108" w:type="dxa"/>
          </w:tblCellMar>
        </w:tblPrEx>
        <w:trPr>
          <w:gridBefore w:val="1"/>
          <w:gridAfter w:val="1"/>
          <w:wBefore w:w="552" w:type="dxa"/>
          <w:wAfter w:w="3633" w:type="dxa"/>
          <w:trHeight w:val="300"/>
        </w:trPr>
        <w:tc>
          <w:tcPr>
            <w:tcW w:w="1060" w:type="dxa"/>
            <w:tcBorders>
              <w:top w:val="nil"/>
              <w:left w:val="single" w:sz="12"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center"/>
              <w:rPr>
                <w:color w:val="000000"/>
                <w:lang w:val="en-GB" w:eastAsia="en-GB"/>
              </w:rPr>
            </w:pPr>
            <w:r w:rsidRPr="00D40DC3">
              <w:rPr>
                <w:color w:val="000000"/>
                <w:lang w:val="en-GB" w:eastAsia="en-GB"/>
              </w:rPr>
              <w:t>XI</w:t>
            </w:r>
          </w:p>
        </w:tc>
        <w:tc>
          <w:tcPr>
            <w:tcW w:w="1790"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84830</w:t>
            </w:r>
          </w:p>
        </w:tc>
        <w:tc>
          <w:tcPr>
            <w:tcW w:w="1985"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135680</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82060</w:t>
            </w:r>
          </w:p>
        </w:tc>
        <w:tc>
          <w:tcPr>
            <w:tcW w:w="1854" w:type="dxa"/>
            <w:tcBorders>
              <w:top w:val="nil"/>
              <w:left w:val="nil"/>
              <w:bottom w:val="single" w:sz="4" w:space="0" w:color="auto"/>
              <w:right w:val="single" w:sz="12" w:space="0" w:color="auto"/>
            </w:tcBorders>
            <w:shd w:val="clear" w:color="auto" w:fill="auto"/>
            <w:noWrap/>
            <w:vAlign w:val="bottom"/>
            <w:hideMark/>
          </w:tcPr>
          <w:p w:rsidR="00D40DC3" w:rsidRPr="00D40DC3" w:rsidRDefault="00D40DC3" w:rsidP="00D40DC3">
            <w:pPr>
              <w:jc w:val="right"/>
              <w:rPr>
                <w:color w:val="FF0000"/>
                <w:lang w:val="en-GB" w:eastAsia="en-GB"/>
              </w:rPr>
            </w:pPr>
            <w:r w:rsidRPr="00D40DC3">
              <w:rPr>
                <w:color w:val="FF0000"/>
                <w:lang w:val="en-GB" w:eastAsia="en-GB"/>
              </w:rPr>
              <w:t>302570</w:t>
            </w:r>
          </w:p>
        </w:tc>
      </w:tr>
      <w:tr w:rsidR="00D40DC3" w:rsidRPr="00D40DC3" w:rsidTr="00D40DC3">
        <w:tblPrEx>
          <w:tblCellMar>
            <w:left w:w="108" w:type="dxa"/>
            <w:right w:w="108" w:type="dxa"/>
          </w:tblCellMar>
        </w:tblPrEx>
        <w:trPr>
          <w:gridBefore w:val="1"/>
          <w:gridAfter w:val="1"/>
          <w:wBefore w:w="552" w:type="dxa"/>
          <w:wAfter w:w="3633" w:type="dxa"/>
          <w:trHeight w:val="300"/>
        </w:trPr>
        <w:tc>
          <w:tcPr>
            <w:tcW w:w="1060" w:type="dxa"/>
            <w:tcBorders>
              <w:top w:val="nil"/>
              <w:left w:val="single" w:sz="12"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center"/>
              <w:rPr>
                <w:color w:val="000000"/>
                <w:lang w:val="en-GB" w:eastAsia="en-GB"/>
              </w:rPr>
            </w:pPr>
            <w:r w:rsidRPr="00D40DC3">
              <w:rPr>
                <w:color w:val="000000"/>
                <w:lang w:val="en-GB" w:eastAsia="en-GB"/>
              </w:rPr>
              <w:t>XII</w:t>
            </w:r>
          </w:p>
        </w:tc>
        <w:tc>
          <w:tcPr>
            <w:tcW w:w="1790"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93900</w:t>
            </w:r>
          </w:p>
        </w:tc>
        <w:tc>
          <w:tcPr>
            <w:tcW w:w="1985" w:type="dxa"/>
            <w:tcBorders>
              <w:top w:val="nil"/>
              <w:left w:val="nil"/>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148480</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right"/>
              <w:rPr>
                <w:color w:val="000000"/>
                <w:lang w:val="en-GB" w:eastAsia="en-GB"/>
              </w:rPr>
            </w:pPr>
            <w:r w:rsidRPr="00D40DC3">
              <w:rPr>
                <w:color w:val="000000"/>
                <w:lang w:val="en-GB" w:eastAsia="en-GB"/>
              </w:rPr>
              <w:t>93190</w:t>
            </w:r>
          </w:p>
        </w:tc>
        <w:tc>
          <w:tcPr>
            <w:tcW w:w="1854" w:type="dxa"/>
            <w:tcBorders>
              <w:top w:val="nil"/>
              <w:left w:val="nil"/>
              <w:bottom w:val="single" w:sz="4" w:space="0" w:color="auto"/>
              <w:right w:val="single" w:sz="12" w:space="0" w:color="auto"/>
            </w:tcBorders>
            <w:shd w:val="clear" w:color="auto" w:fill="auto"/>
            <w:noWrap/>
            <w:vAlign w:val="bottom"/>
            <w:hideMark/>
          </w:tcPr>
          <w:p w:rsidR="00D40DC3" w:rsidRPr="00D40DC3" w:rsidRDefault="00D40DC3" w:rsidP="00D40DC3">
            <w:pPr>
              <w:jc w:val="right"/>
              <w:rPr>
                <w:color w:val="FF0000"/>
                <w:lang w:val="en-GB" w:eastAsia="en-GB"/>
              </w:rPr>
            </w:pPr>
            <w:r w:rsidRPr="00D40DC3">
              <w:rPr>
                <w:color w:val="FF0000"/>
                <w:lang w:val="en-GB" w:eastAsia="en-GB"/>
              </w:rPr>
              <w:t>335570</w:t>
            </w:r>
          </w:p>
        </w:tc>
      </w:tr>
      <w:tr w:rsidR="00D40DC3" w:rsidRPr="00D40DC3" w:rsidTr="00D40DC3">
        <w:tblPrEx>
          <w:tblCellMar>
            <w:left w:w="108" w:type="dxa"/>
            <w:right w:w="108" w:type="dxa"/>
          </w:tblCellMar>
        </w:tblPrEx>
        <w:trPr>
          <w:gridBefore w:val="1"/>
          <w:gridAfter w:val="1"/>
          <w:wBefore w:w="552" w:type="dxa"/>
          <w:wAfter w:w="3633" w:type="dxa"/>
          <w:trHeight w:val="315"/>
        </w:trPr>
        <w:tc>
          <w:tcPr>
            <w:tcW w:w="1060" w:type="dxa"/>
            <w:tcBorders>
              <w:top w:val="nil"/>
              <w:left w:val="single" w:sz="12" w:space="0" w:color="auto"/>
              <w:bottom w:val="single" w:sz="4" w:space="0" w:color="auto"/>
              <w:right w:val="single" w:sz="4" w:space="0" w:color="auto"/>
            </w:tcBorders>
            <w:shd w:val="clear" w:color="auto" w:fill="auto"/>
            <w:noWrap/>
            <w:vAlign w:val="bottom"/>
            <w:hideMark/>
          </w:tcPr>
          <w:p w:rsidR="00D40DC3" w:rsidRPr="00D40DC3" w:rsidRDefault="00D40DC3" w:rsidP="00D40DC3">
            <w:pPr>
              <w:jc w:val="center"/>
              <w:rPr>
                <w:color w:val="000000"/>
                <w:lang w:val="en-GB" w:eastAsia="en-GB"/>
              </w:rPr>
            </w:pPr>
            <w:proofErr w:type="spellStart"/>
            <w:r w:rsidRPr="00D40DC3">
              <w:rPr>
                <w:color w:val="000000"/>
                <w:lang w:val="en-GB" w:eastAsia="en-GB"/>
              </w:rPr>
              <w:t>Общо</w:t>
            </w:r>
            <w:proofErr w:type="spellEnd"/>
            <w:r w:rsidRPr="00D40DC3">
              <w:rPr>
                <w:color w:val="000000"/>
                <w:lang w:val="en-GB" w:eastAsia="en-GB"/>
              </w:rPr>
              <w:t>:</w:t>
            </w:r>
          </w:p>
        </w:tc>
        <w:tc>
          <w:tcPr>
            <w:tcW w:w="1790" w:type="dxa"/>
            <w:tcBorders>
              <w:top w:val="nil"/>
              <w:left w:val="nil"/>
              <w:bottom w:val="single" w:sz="4" w:space="0" w:color="auto"/>
              <w:right w:val="single" w:sz="4" w:space="0" w:color="auto"/>
            </w:tcBorders>
            <w:shd w:val="clear" w:color="000000" w:fill="CCFFCC"/>
            <w:noWrap/>
            <w:vAlign w:val="bottom"/>
            <w:hideMark/>
          </w:tcPr>
          <w:p w:rsidR="00D40DC3" w:rsidRPr="00D40DC3" w:rsidRDefault="00D40DC3" w:rsidP="00D40DC3">
            <w:pPr>
              <w:jc w:val="right"/>
              <w:rPr>
                <w:color w:val="FF0000"/>
                <w:lang w:val="en-GB" w:eastAsia="en-GB"/>
              </w:rPr>
            </w:pPr>
            <w:r w:rsidRPr="00D40DC3">
              <w:rPr>
                <w:color w:val="FF0000"/>
                <w:lang w:val="en-GB" w:eastAsia="en-GB"/>
              </w:rPr>
              <w:t>1045260</w:t>
            </w:r>
          </w:p>
        </w:tc>
        <w:tc>
          <w:tcPr>
            <w:tcW w:w="1985" w:type="dxa"/>
            <w:tcBorders>
              <w:top w:val="nil"/>
              <w:left w:val="nil"/>
              <w:bottom w:val="single" w:sz="4" w:space="0" w:color="auto"/>
              <w:right w:val="single" w:sz="4" w:space="0" w:color="auto"/>
            </w:tcBorders>
            <w:shd w:val="clear" w:color="000000" w:fill="CCFFCC"/>
            <w:noWrap/>
            <w:vAlign w:val="bottom"/>
            <w:hideMark/>
          </w:tcPr>
          <w:p w:rsidR="00D40DC3" w:rsidRPr="00D40DC3" w:rsidRDefault="00D40DC3" w:rsidP="00D40DC3">
            <w:pPr>
              <w:jc w:val="right"/>
              <w:rPr>
                <w:color w:val="FF0000"/>
                <w:lang w:val="en-GB" w:eastAsia="en-GB"/>
              </w:rPr>
            </w:pPr>
            <w:r w:rsidRPr="00D40DC3">
              <w:rPr>
                <w:color w:val="FF0000"/>
                <w:lang w:val="en-GB" w:eastAsia="en-GB"/>
              </w:rPr>
              <w:t>1654190</w:t>
            </w:r>
          </w:p>
        </w:tc>
        <w:tc>
          <w:tcPr>
            <w:tcW w:w="1758" w:type="dxa"/>
            <w:tcBorders>
              <w:top w:val="nil"/>
              <w:left w:val="single" w:sz="4" w:space="0" w:color="auto"/>
              <w:bottom w:val="single" w:sz="4" w:space="0" w:color="auto"/>
              <w:right w:val="nil"/>
            </w:tcBorders>
            <w:shd w:val="clear" w:color="000000" w:fill="CCFFCC"/>
            <w:noWrap/>
            <w:vAlign w:val="bottom"/>
            <w:hideMark/>
          </w:tcPr>
          <w:p w:rsidR="00D40DC3" w:rsidRPr="00D40DC3" w:rsidRDefault="00D40DC3" w:rsidP="00D40DC3">
            <w:pPr>
              <w:jc w:val="right"/>
              <w:rPr>
                <w:color w:val="FF0000"/>
                <w:lang w:val="en-GB" w:eastAsia="en-GB"/>
              </w:rPr>
            </w:pPr>
            <w:r w:rsidRPr="00D40DC3">
              <w:rPr>
                <w:color w:val="FF0000"/>
                <w:lang w:val="en-GB" w:eastAsia="en-GB"/>
              </w:rPr>
              <w:t>1038330</w:t>
            </w:r>
          </w:p>
        </w:tc>
        <w:tc>
          <w:tcPr>
            <w:tcW w:w="1854" w:type="dxa"/>
            <w:tcBorders>
              <w:top w:val="nil"/>
              <w:left w:val="single" w:sz="4" w:space="0" w:color="auto"/>
              <w:bottom w:val="single" w:sz="4" w:space="0" w:color="auto"/>
              <w:right w:val="single" w:sz="12" w:space="0" w:color="auto"/>
            </w:tcBorders>
            <w:shd w:val="clear" w:color="000000" w:fill="CCFFCC"/>
            <w:noWrap/>
            <w:vAlign w:val="bottom"/>
            <w:hideMark/>
          </w:tcPr>
          <w:p w:rsidR="00D40DC3" w:rsidRPr="00D40DC3" w:rsidRDefault="00D40DC3" w:rsidP="00D40DC3">
            <w:pPr>
              <w:jc w:val="right"/>
              <w:rPr>
                <w:color w:val="FF0000"/>
                <w:lang w:val="en-GB" w:eastAsia="en-GB"/>
              </w:rPr>
            </w:pPr>
            <w:r w:rsidRPr="00D40DC3">
              <w:rPr>
                <w:color w:val="FF0000"/>
                <w:lang w:val="en-GB" w:eastAsia="en-GB"/>
              </w:rPr>
              <w:t>3737780</w:t>
            </w:r>
          </w:p>
        </w:tc>
      </w:tr>
    </w:tbl>
    <w:p w:rsidR="002467CE" w:rsidRPr="00D40DC3" w:rsidRDefault="002467CE"/>
    <w:sectPr w:rsidR="002467CE" w:rsidRPr="00D40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3B"/>
    <w:rsid w:val="000113ED"/>
    <w:rsid w:val="002467CE"/>
    <w:rsid w:val="004531CA"/>
    <w:rsid w:val="0068585C"/>
    <w:rsid w:val="007474D4"/>
    <w:rsid w:val="008C293A"/>
    <w:rsid w:val="00931799"/>
    <w:rsid w:val="009A2210"/>
    <w:rsid w:val="00AF5DF3"/>
    <w:rsid w:val="00D40DC3"/>
    <w:rsid w:val="00ED0B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1CA"/>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531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531CA"/>
    <w:rPr>
      <w:rFonts w:ascii="Times New Roman" w:eastAsia="Times New Roman" w:hAnsi="Times New Roman" w:cs="Times New Roman"/>
      <w:i/>
      <w:iCs/>
      <w:sz w:val="24"/>
      <w:szCs w:val="24"/>
    </w:rPr>
  </w:style>
  <w:style w:type="character" w:customStyle="1" w:styleId="apple-converted-space">
    <w:name w:val="apple-converted-space"/>
    <w:rsid w:val="004531CA"/>
  </w:style>
  <w:style w:type="paragraph" w:styleId="BalloonText">
    <w:name w:val="Balloon Text"/>
    <w:basedOn w:val="Normal"/>
    <w:link w:val="BalloonTextChar"/>
    <w:uiPriority w:val="99"/>
    <w:semiHidden/>
    <w:unhideWhenUsed/>
    <w:rsid w:val="00AF5DF3"/>
    <w:rPr>
      <w:rFonts w:ascii="Tahoma" w:hAnsi="Tahoma" w:cs="Tahoma"/>
      <w:sz w:val="16"/>
      <w:szCs w:val="16"/>
    </w:rPr>
  </w:style>
  <w:style w:type="character" w:customStyle="1" w:styleId="BalloonTextChar">
    <w:name w:val="Balloon Text Char"/>
    <w:basedOn w:val="DefaultParagraphFont"/>
    <w:link w:val="BalloonText"/>
    <w:uiPriority w:val="99"/>
    <w:semiHidden/>
    <w:rsid w:val="00AF5D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1CA"/>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531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531CA"/>
    <w:rPr>
      <w:rFonts w:ascii="Times New Roman" w:eastAsia="Times New Roman" w:hAnsi="Times New Roman" w:cs="Times New Roman"/>
      <w:i/>
      <w:iCs/>
      <w:sz w:val="24"/>
      <w:szCs w:val="24"/>
    </w:rPr>
  </w:style>
  <w:style w:type="character" w:customStyle="1" w:styleId="apple-converted-space">
    <w:name w:val="apple-converted-space"/>
    <w:rsid w:val="004531CA"/>
  </w:style>
  <w:style w:type="paragraph" w:styleId="BalloonText">
    <w:name w:val="Balloon Text"/>
    <w:basedOn w:val="Normal"/>
    <w:link w:val="BalloonTextChar"/>
    <w:uiPriority w:val="99"/>
    <w:semiHidden/>
    <w:unhideWhenUsed/>
    <w:rsid w:val="00AF5DF3"/>
    <w:rPr>
      <w:rFonts w:ascii="Tahoma" w:hAnsi="Tahoma" w:cs="Tahoma"/>
      <w:sz w:val="16"/>
      <w:szCs w:val="16"/>
    </w:rPr>
  </w:style>
  <w:style w:type="character" w:customStyle="1" w:styleId="BalloonTextChar">
    <w:name w:val="Balloon Text Char"/>
    <w:basedOn w:val="DefaultParagraphFont"/>
    <w:link w:val="BalloonText"/>
    <w:uiPriority w:val="99"/>
    <w:semiHidden/>
    <w:rsid w:val="00AF5D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7107">
      <w:bodyDiv w:val="1"/>
      <w:marLeft w:val="0"/>
      <w:marRight w:val="0"/>
      <w:marTop w:val="0"/>
      <w:marBottom w:val="0"/>
      <w:divBdr>
        <w:top w:val="none" w:sz="0" w:space="0" w:color="auto"/>
        <w:left w:val="none" w:sz="0" w:space="0" w:color="auto"/>
        <w:bottom w:val="none" w:sz="0" w:space="0" w:color="auto"/>
        <w:right w:val="none" w:sz="0" w:space="0" w:color="auto"/>
      </w:divBdr>
    </w:div>
    <w:div w:id="42325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9EB6-DD37-4581-BD40-CE41719A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390</Words>
  <Characters>2224</Characters>
  <Application>Microsoft Office Word</Application>
  <DocSecurity>0</DocSecurity>
  <Lines>18</Lines>
  <Paragraphs>5</Paragraphs>
  <ScaleCrop>false</ScaleCrop>
  <Company>Hewlett-Packard Company</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 Manchev</dc:creator>
  <cp:keywords/>
  <dc:description/>
  <cp:lastModifiedBy>Grigor Manchev</cp:lastModifiedBy>
  <cp:revision>5</cp:revision>
  <cp:lastPrinted>2016-03-30T11:48:00Z</cp:lastPrinted>
  <dcterms:created xsi:type="dcterms:W3CDTF">2016-03-28T11:47:00Z</dcterms:created>
  <dcterms:modified xsi:type="dcterms:W3CDTF">2016-03-30T13:28:00Z</dcterms:modified>
</cp:coreProperties>
</file>