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tblInd w:w="56" w:type="dxa"/>
        <w:tblLayout w:type="fixed"/>
        <w:tblCellMar>
          <w:left w:w="70" w:type="dxa"/>
          <w:right w:w="70" w:type="dxa"/>
        </w:tblCellMar>
        <w:tblLook w:val="00A0" w:firstRow="1" w:lastRow="0" w:firstColumn="1" w:lastColumn="0" w:noHBand="0" w:noVBand="0"/>
      </w:tblPr>
      <w:tblGrid>
        <w:gridCol w:w="660"/>
        <w:gridCol w:w="7980"/>
        <w:gridCol w:w="1080"/>
        <w:gridCol w:w="784"/>
      </w:tblGrid>
      <w:tr w:rsidR="00DE6C61" w:rsidRPr="00AC1C8A" w:rsidTr="00535BB6">
        <w:trPr>
          <w:trHeight w:val="690"/>
        </w:trPr>
        <w:tc>
          <w:tcPr>
            <w:tcW w:w="660" w:type="dxa"/>
            <w:tcBorders>
              <w:top w:val="nil"/>
              <w:left w:val="nil"/>
              <w:bottom w:val="nil"/>
              <w:right w:val="nil"/>
            </w:tcBorders>
            <w:noWrap/>
            <w:vAlign w:val="center"/>
          </w:tcPr>
          <w:p w:rsidR="00DE6C61" w:rsidRPr="002141A1" w:rsidRDefault="00DE6C61" w:rsidP="00535BB6">
            <w:pPr>
              <w:spacing w:after="0" w:line="240" w:lineRule="auto"/>
              <w:rPr>
                <w:lang w:val="en-US" w:eastAsia="bg-BG"/>
              </w:rPr>
            </w:pPr>
            <w:bookmarkStart w:id="0" w:name="_GoBack"/>
            <w:bookmarkEnd w:id="0"/>
          </w:p>
        </w:tc>
        <w:tc>
          <w:tcPr>
            <w:tcW w:w="9844" w:type="dxa"/>
            <w:gridSpan w:val="3"/>
            <w:tcBorders>
              <w:top w:val="nil"/>
              <w:left w:val="nil"/>
              <w:bottom w:val="nil"/>
              <w:right w:val="nil"/>
            </w:tcBorders>
            <w:noWrap/>
            <w:vAlign w:val="center"/>
          </w:tcPr>
          <w:p w:rsidR="00DE6C61" w:rsidRDefault="00DE6C61" w:rsidP="00535BB6">
            <w:pPr>
              <w:spacing w:after="0" w:line="240" w:lineRule="auto"/>
              <w:jc w:val="center"/>
              <w:rPr>
                <w:b/>
                <w:bCs/>
                <w:sz w:val="28"/>
                <w:szCs w:val="28"/>
                <w:lang w:val="en-US" w:eastAsia="bg-BG"/>
              </w:rPr>
            </w:pPr>
            <w:r w:rsidRPr="00535BB6">
              <w:rPr>
                <w:b/>
                <w:bCs/>
                <w:sz w:val="28"/>
                <w:szCs w:val="28"/>
                <w:lang w:eastAsia="bg-BG"/>
              </w:rPr>
              <w:t>МЕТОДИКА ЗА ОЦЕНКА</w:t>
            </w:r>
          </w:p>
          <w:p w:rsidR="00F056B5" w:rsidRPr="00F056B5" w:rsidRDefault="00F056B5" w:rsidP="00535BB6">
            <w:pPr>
              <w:spacing w:after="0" w:line="240" w:lineRule="auto"/>
              <w:jc w:val="center"/>
              <w:rPr>
                <w:b/>
                <w:bCs/>
                <w:sz w:val="28"/>
                <w:szCs w:val="28"/>
                <w:lang w:val="en-US" w:eastAsia="bg-BG"/>
              </w:rPr>
            </w:pP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p>
        </w:tc>
        <w:tc>
          <w:tcPr>
            <w:tcW w:w="798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r w:rsidRPr="00535BB6">
              <w:rPr>
                <w:sz w:val="22"/>
                <w:szCs w:val="22"/>
                <w:lang w:eastAsia="bg-BG"/>
              </w:rPr>
              <w:t>Комплексна оценка</w:t>
            </w:r>
            <w:r w:rsidRPr="00535BB6">
              <w:rPr>
                <w:b/>
                <w:bCs/>
                <w:sz w:val="22"/>
                <w:szCs w:val="22"/>
                <w:lang w:eastAsia="bg-BG"/>
              </w:rPr>
              <w:t xml:space="preserve"> CR = Т + С </w:t>
            </w:r>
            <w:r w:rsidRPr="00535BB6">
              <w:rPr>
                <w:sz w:val="22"/>
                <w:szCs w:val="22"/>
                <w:lang w:eastAsia="bg-BG"/>
              </w:rPr>
              <w:t>(с максимална оценка 100т.)</w:t>
            </w:r>
          </w:p>
        </w:tc>
        <w:tc>
          <w:tcPr>
            <w:tcW w:w="1080" w:type="dxa"/>
            <w:tcBorders>
              <w:top w:val="nil"/>
              <w:left w:val="nil"/>
              <w:bottom w:val="nil"/>
              <w:right w:val="nil"/>
            </w:tcBorders>
            <w:noWrap/>
            <w:vAlign w:val="center"/>
          </w:tcPr>
          <w:p w:rsidR="00DE6C61" w:rsidRPr="00535BB6" w:rsidRDefault="00DE6C61" w:rsidP="00535BB6">
            <w:pPr>
              <w:spacing w:after="0" w:line="240" w:lineRule="auto"/>
              <w:jc w:val="center"/>
              <w:rPr>
                <w:b/>
                <w:bCs/>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jc w:val="center"/>
              <w:rPr>
                <w:b/>
                <w:bCs/>
                <w:lang w:eastAsia="bg-BG"/>
              </w:rPr>
            </w:pP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9844" w:type="dxa"/>
            <w:gridSpan w:val="3"/>
            <w:tcBorders>
              <w:top w:val="nil"/>
              <w:left w:val="nil"/>
              <w:bottom w:val="nil"/>
              <w:right w:val="nil"/>
            </w:tcBorders>
            <w:noWrap/>
            <w:vAlign w:val="center"/>
          </w:tcPr>
          <w:p w:rsidR="00DE6C61" w:rsidRPr="00535BB6" w:rsidRDefault="00DE6C61" w:rsidP="00535BB6">
            <w:pPr>
              <w:spacing w:after="0" w:line="240" w:lineRule="auto"/>
              <w:rPr>
                <w:lang w:eastAsia="bg-BG"/>
              </w:rPr>
            </w:pPr>
            <w:r w:rsidRPr="00535BB6">
              <w:rPr>
                <w:sz w:val="22"/>
                <w:szCs w:val="22"/>
                <w:lang w:eastAsia="bg-BG"/>
              </w:rPr>
              <w:t xml:space="preserve">Оценка на техническо предложение - </w:t>
            </w:r>
            <w:r w:rsidRPr="00535BB6">
              <w:rPr>
                <w:b/>
                <w:bCs/>
                <w:sz w:val="22"/>
                <w:szCs w:val="22"/>
                <w:lang w:eastAsia="bg-BG"/>
              </w:rPr>
              <w:t>Т</w:t>
            </w:r>
            <w:r w:rsidRPr="00535BB6">
              <w:rPr>
                <w:sz w:val="22"/>
                <w:szCs w:val="22"/>
                <w:lang w:eastAsia="bg-BG"/>
              </w:rPr>
              <w:t xml:space="preserve">  (с максимална оценка 100т и тежест в общата оценка 70%)</w:t>
            </w: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9844" w:type="dxa"/>
            <w:gridSpan w:val="3"/>
            <w:tcBorders>
              <w:top w:val="nil"/>
              <w:left w:val="nil"/>
              <w:bottom w:val="nil"/>
              <w:right w:val="nil"/>
            </w:tcBorders>
            <w:noWrap/>
            <w:vAlign w:val="center"/>
          </w:tcPr>
          <w:p w:rsidR="00DE6C61" w:rsidRPr="00535BB6" w:rsidRDefault="00DE6C61" w:rsidP="00535BB6">
            <w:pPr>
              <w:spacing w:after="0" w:line="240" w:lineRule="auto"/>
              <w:rPr>
                <w:lang w:eastAsia="bg-BG"/>
              </w:rPr>
            </w:pPr>
            <w:r w:rsidRPr="00535BB6">
              <w:rPr>
                <w:sz w:val="22"/>
                <w:szCs w:val="22"/>
                <w:lang w:eastAsia="bg-BG"/>
              </w:rPr>
              <w:t xml:space="preserve">Оценка на предложена цена за изпълнение - </w:t>
            </w:r>
            <w:r w:rsidRPr="00535BB6">
              <w:rPr>
                <w:b/>
                <w:bCs/>
                <w:sz w:val="22"/>
                <w:szCs w:val="22"/>
                <w:lang w:eastAsia="bg-BG"/>
              </w:rPr>
              <w:t>С</w:t>
            </w:r>
            <w:r w:rsidRPr="00535BB6">
              <w:rPr>
                <w:sz w:val="22"/>
                <w:szCs w:val="22"/>
                <w:lang w:eastAsia="bg-BG"/>
              </w:rPr>
              <w:t xml:space="preserve">  (с максимална оценка 100т и тежест в общата оценка 30%)</w:t>
            </w: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9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p>
        </w:tc>
        <w:tc>
          <w:tcPr>
            <w:tcW w:w="798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r w:rsidRPr="00535BB6">
              <w:rPr>
                <w:b/>
                <w:bCs/>
                <w:sz w:val="22"/>
                <w:szCs w:val="22"/>
                <w:lang w:eastAsia="bg-BG"/>
              </w:rPr>
              <w:t xml:space="preserve">Т = Оценка А + Оценка Б + Оценка В </w:t>
            </w: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9844" w:type="dxa"/>
            <w:gridSpan w:val="3"/>
            <w:tcBorders>
              <w:top w:val="nil"/>
              <w:left w:val="nil"/>
              <w:bottom w:val="nil"/>
              <w:right w:val="nil"/>
            </w:tcBorders>
            <w:noWrap/>
            <w:vAlign w:val="center"/>
          </w:tcPr>
          <w:p w:rsidR="00DE6C61" w:rsidRPr="00535BB6" w:rsidRDefault="00DE6C61" w:rsidP="00535BB6">
            <w:pPr>
              <w:spacing w:after="0" w:line="240" w:lineRule="auto"/>
              <w:rPr>
                <w:lang w:eastAsia="bg-BG"/>
              </w:rPr>
            </w:pPr>
            <w:r w:rsidRPr="00535BB6">
              <w:rPr>
                <w:b/>
                <w:bCs/>
                <w:sz w:val="22"/>
                <w:szCs w:val="22"/>
                <w:lang w:eastAsia="bg-BG"/>
              </w:rPr>
              <w:t xml:space="preserve">Оценка А - </w:t>
            </w:r>
            <w:r w:rsidRPr="0078572B">
              <w:rPr>
                <w:b/>
                <w:sz w:val="22"/>
                <w:szCs w:val="22"/>
                <w:lang w:eastAsia="bg-BG"/>
              </w:rPr>
              <w:t>проектно предложение</w:t>
            </w:r>
            <w:r w:rsidRPr="00535BB6">
              <w:rPr>
                <w:sz w:val="22"/>
                <w:szCs w:val="22"/>
                <w:lang w:eastAsia="bg-BG"/>
              </w:rPr>
              <w:t xml:space="preserve"> (с максимална оценка 100т и тежест в общата оценка 20%)</w:t>
            </w:r>
          </w:p>
        </w:tc>
      </w:tr>
      <w:tr w:rsidR="00DE6C61" w:rsidRPr="00AC1C8A" w:rsidTr="00535BB6">
        <w:trPr>
          <w:trHeight w:val="72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9844" w:type="dxa"/>
            <w:gridSpan w:val="3"/>
            <w:tcBorders>
              <w:top w:val="nil"/>
              <w:left w:val="nil"/>
              <w:bottom w:val="nil"/>
              <w:right w:val="nil"/>
            </w:tcBorders>
            <w:vAlign w:val="center"/>
          </w:tcPr>
          <w:p w:rsidR="00DE6C61" w:rsidRPr="00535BB6" w:rsidRDefault="00DE6C61" w:rsidP="00535BB6">
            <w:pPr>
              <w:spacing w:after="0" w:line="240" w:lineRule="auto"/>
              <w:rPr>
                <w:lang w:eastAsia="bg-BG"/>
              </w:rPr>
            </w:pPr>
            <w:r w:rsidRPr="00535BB6">
              <w:rPr>
                <w:b/>
                <w:bCs/>
                <w:sz w:val="22"/>
                <w:szCs w:val="22"/>
                <w:lang w:eastAsia="bg-BG"/>
              </w:rPr>
              <w:t>Оценка Б</w:t>
            </w:r>
            <w:r w:rsidRPr="00535BB6">
              <w:rPr>
                <w:sz w:val="22"/>
                <w:szCs w:val="22"/>
                <w:lang w:eastAsia="bg-BG"/>
              </w:rPr>
              <w:t xml:space="preserve"> - </w:t>
            </w:r>
            <w:r w:rsidRPr="0078572B">
              <w:rPr>
                <w:b/>
                <w:sz w:val="22"/>
                <w:szCs w:val="22"/>
                <w:lang w:eastAsia="bg-BG"/>
              </w:rPr>
              <w:t>технология и организация за изпълнение на строително-монтажните работи</w:t>
            </w:r>
            <w:r w:rsidRPr="00535BB6">
              <w:rPr>
                <w:sz w:val="22"/>
                <w:szCs w:val="22"/>
                <w:lang w:eastAsia="bg-BG"/>
              </w:rPr>
              <w:t xml:space="preserve"> (с максимална оценка 100т и тежест в общата оценка 30%)</w:t>
            </w:r>
          </w:p>
        </w:tc>
      </w:tr>
      <w:tr w:rsidR="00DE6C61" w:rsidRPr="00AC1C8A" w:rsidTr="00535BB6">
        <w:trPr>
          <w:trHeight w:val="30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9844" w:type="dxa"/>
            <w:gridSpan w:val="3"/>
            <w:tcBorders>
              <w:top w:val="nil"/>
              <w:left w:val="nil"/>
              <w:bottom w:val="nil"/>
              <w:right w:val="nil"/>
            </w:tcBorders>
            <w:noWrap/>
            <w:vAlign w:val="center"/>
          </w:tcPr>
          <w:p w:rsidR="00DE6C61" w:rsidRPr="00535BB6" w:rsidRDefault="00DE6C61" w:rsidP="00535BB6">
            <w:pPr>
              <w:spacing w:after="0" w:line="240" w:lineRule="auto"/>
              <w:rPr>
                <w:lang w:eastAsia="bg-BG"/>
              </w:rPr>
            </w:pPr>
            <w:r w:rsidRPr="00535BB6">
              <w:rPr>
                <w:b/>
                <w:bCs/>
                <w:sz w:val="22"/>
                <w:szCs w:val="22"/>
                <w:lang w:eastAsia="bg-BG"/>
              </w:rPr>
              <w:t>Оценка В -</w:t>
            </w:r>
            <w:r w:rsidRPr="00535BB6">
              <w:rPr>
                <w:sz w:val="22"/>
                <w:szCs w:val="22"/>
                <w:lang w:eastAsia="bg-BG"/>
              </w:rPr>
              <w:t xml:space="preserve"> </w:t>
            </w:r>
            <w:r w:rsidRPr="0078572B">
              <w:rPr>
                <w:b/>
                <w:sz w:val="22"/>
                <w:szCs w:val="22"/>
                <w:lang w:eastAsia="bg-BG"/>
              </w:rPr>
              <w:t>управление на рисковете</w:t>
            </w:r>
            <w:r w:rsidRPr="00535BB6">
              <w:rPr>
                <w:sz w:val="22"/>
                <w:szCs w:val="22"/>
                <w:lang w:eastAsia="bg-BG"/>
              </w:rPr>
              <w:t xml:space="preserve"> (с максимална оценка 100т и тежест в общата оценка 20%)</w:t>
            </w:r>
          </w:p>
        </w:tc>
      </w:tr>
      <w:tr w:rsidR="00DE6C61" w:rsidRPr="00AC1C8A" w:rsidTr="0080271D">
        <w:trPr>
          <w:trHeight w:val="3774"/>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9844" w:type="dxa"/>
            <w:gridSpan w:val="3"/>
            <w:tcBorders>
              <w:top w:val="nil"/>
              <w:left w:val="nil"/>
              <w:bottom w:val="nil"/>
              <w:right w:val="nil"/>
            </w:tcBorders>
            <w:vAlign w:val="center"/>
          </w:tcPr>
          <w:p w:rsidR="00DE6C61" w:rsidRPr="00535BB6" w:rsidRDefault="00DE6C61" w:rsidP="00535BB6">
            <w:pPr>
              <w:spacing w:after="0" w:line="240" w:lineRule="auto"/>
              <w:rPr>
                <w:lang w:eastAsia="bg-BG"/>
              </w:rPr>
            </w:pPr>
            <w:r w:rsidRPr="00535BB6">
              <w:rPr>
                <w:sz w:val="22"/>
                <w:szCs w:val="22"/>
                <w:lang w:eastAsia="bg-BG"/>
              </w:rPr>
              <w:t>Оценката е експертна, като при анализа на предложенията се взима под внимание предложената от Участника цялостна организация за изграждане на обектите, технология на изпълнение на отделните видове дейности, като се оценяват предимно следните основни моменти:</w:t>
            </w:r>
            <w:r w:rsidRPr="00535BB6">
              <w:rPr>
                <w:sz w:val="22"/>
                <w:szCs w:val="22"/>
                <w:lang w:eastAsia="bg-BG"/>
              </w:rPr>
              <w:br/>
              <w:t>Организация при набирането на изходна информация;</w:t>
            </w:r>
            <w:r w:rsidRPr="00535BB6">
              <w:rPr>
                <w:sz w:val="22"/>
                <w:szCs w:val="22"/>
                <w:lang w:eastAsia="bg-BG"/>
              </w:rPr>
              <w:br/>
              <w:t xml:space="preserve"> - Процедури за идентифициране и оценка на рисковете, които може да възникнат за Възложителя при осъществяване на предмета на поръчката и предвиждане в инвестиционния проект на мерки за тяхното намаляване;</w:t>
            </w:r>
            <w:r w:rsidRPr="00535BB6">
              <w:rPr>
                <w:sz w:val="22"/>
                <w:szCs w:val="22"/>
                <w:lang w:eastAsia="bg-BG"/>
              </w:rPr>
              <w:br/>
              <w:t xml:space="preserve"> - Оценка ефективността на взаимодействие между отделните организации на Участника, заети в процеса на инвестиционното проектиране;</w:t>
            </w:r>
            <w:r w:rsidRPr="00535BB6">
              <w:rPr>
                <w:sz w:val="22"/>
                <w:szCs w:val="22"/>
                <w:lang w:eastAsia="bg-BG"/>
              </w:rPr>
              <w:br/>
              <w:t xml:space="preserve"> - Осигуряване на контрол на качеството при изработване на инвестиционния проект;</w:t>
            </w:r>
            <w:r w:rsidRPr="00535BB6">
              <w:rPr>
                <w:sz w:val="22"/>
                <w:szCs w:val="22"/>
                <w:lang w:eastAsia="bg-BG"/>
              </w:rPr>
              <w:br/>
              <w:t xml:space="preserve"> - Организация и последователност на изпълнение на всички процедури по съгласуване на инвестиционните проекти с компетентните контролни органи до получаване на разрешение за строеж;</w:t>
            </w:r>
          </w:p>
        </w:tc>
      </w:tr>
      <w:tr w:rsidR="00DE6C61" w:rsidRPr="00AC1C8A" w:rsidTr="00535BB6">
        <w:trPr>
          <w:trHeight w:val="6075"/>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9844" w:type="dxa"/>
            <w:gridSpan w:val="3"/>
            <w:tcBorders>
              <w:top w:val="nil"/>
              <w:left w:val="nil"/>
              <w:bottom w:val="single" w:sz="4" w:space="0" w:color="auto"/>
              <w:right w:val="nil"/>
            </w:tcBorders>
            <w:vAlign w:val="center"/>
          </w:tcPr>
          <w:p w:rsidR="00DE6C61" w:rsidRDefault="00DE6C61" w:rsidP="00535BB6">
            <w:pPr>
              <w:spacing w:after="0" w:line="240" w:lineRule="auto"/>
              <w:rPr>
                <w:lang w:eastAsia="bg-BG"/>
              </w:rPr>
            </w:pPr>
            <w:r w:rsidRPr="00535BB6">
              <w:rPr>
                <w:sz w:val="22"/>
                <w:szCs w:val="22"/>
                <w:lang w:eastAsia="bg-BG"/>
              </w:rPr>
              <w:t xml:space="preserve"> - Описание на отделните етапи на изпълнение на поръчката;</w:t>
            </w:r>
            <w:r w:rsidRPr="00535BB6">
              <w:rPr>
                <w:sz w:val="22"/>
                <w:szCs w:val="22"/>
                <w:lang w:eastAsia="bg-BG"/>
              </w:rPr>
              <w:br/>
              <w:t xml:space="preserve"> - Описание на видовете строително-монтажните работи и тяхната последователност на изпълнение;</w:t>
            </w:r>
            <w:r w:rsidRPr="00535BB6">
              <w:rPr>
                <w:sz w:val="22"/>
                <w:szCs w:val="22"/>
                <w:lang w:eastAsia="bg-BG"/>
              </w:rPr>
              <w:br/>
              <w:t xml:space="preserve"> - Описание на стратегията, условията, методите, похватите и организацията на работата по изграждането на обектите;</w:t>
            </w:r>
            <w:r w:rsidRPr="00535BB6">
              <w:rPr>
                <w:sz w:val="22"/>
                <w:szCs w:val="22"/>
                <w:lang w:eastAsia="bg-BG"/>
              </w:rPr>
              <w:br/>
              <w:t xml:space="preserve"> - Описание на организацията и управлението на обектите;</w:t>
            </w:r>
            <w:r w:rsidRPr="00535BB6">
              <w:rPr>
                <w:sz w:val="22"/>
                <w:szCs w:val="22"/>
                <w:lang w:eastAsia="bg-BG"/>
              </w:rPr>
              <w:br/>
              <w:t xml:space="preserve"> - Организационна схема в етапа на откриване и подготовка на строителната площадка, етапа на доставка на материалите и съоръженията, етапа на изпълнение на строителството, етапа на въвеждане в експлоатация на основното технологично оборудване и станционните системи на обектите;</w:t>
            </w:r>
            <w:r w:rsidRPr="00535BB6">
              <w:rPr>
                <w:sz w:val="22"/>
                <w:szCs w:val="22"/>
                <w:lang w:eastAsia="bg-BG"/>
              </w:rPr>
              <w:br/>
              <w:t xml:space="preserve"> - Оценка ефективността на взаимодействие между отделните организации на Участника, заети в процеса на изграждане на съоръженията - управлението на проекта, строително-монтажни екипи, авторски надзор, изпитания и въвеждане в експлоатация;</w:t>
            </w:r>
            <w:r w:rsidRPr="00535BB6">
              <w:rPr>
                <w:sz w:val="22"/>
                <w:szCs w:val="22"/>
                <w:lang w:eastAsia="bg-BG"/>
              </w:rPr>
              <w:br/>
              <w:t xml:space="preserve"> - Процедури за идентифициране и оценка на рисковете, които може да възникнат за Възложителя по време на изграждане на обектите и предложени мерки за тяхното намаляване. Основни мерки за поемане на времевия риск при изпълнение на поръчката;</w:t>
            </w:r>
            <w:r w:rsidRPr="00535BB6">
              <w:rPr>
                <w:sz w:val="22"/>
                <w:szCs w:val="22"/>
                <w:lang w:eastAsia="bg-BG"/>
              </w:rPr>
              <w:br/>
              <w:t xml:space="preserve"> - Предложени методи и организация на текущия контрол на качеството на изпълнение на строително-монтажните работи до въвеждане в експлоатация;</w:t>
            </w:r>
            <w:r w:rsidRPr="00535BB6">
              <w:rPr>
                <w:sz w:val="22"/>
                <w:szCs w:val="22"/>
                <w:lang w:eastAsia="bg-BG"/>
              </w:rPr>
              <w:br/>
              <w:t xml:space="preserve"> - Предложена организация за осигуряване на максимална сигурност на собствения персонал и персонала на Възложителя и здравословни и безопасни условия на труд;</w:t>
            </w:r>
            <w:r w:rsidRPr="00535BB6">
              <w:rPr>
                <w:sz w:val="22"/>
                <w:szCs w:val="22"/>
                <w:lang w:eastAsia="bg-BG"/>
              </w:rPr>
              <w:br/>
              <w:t xml:space="preserve"> - Съответствие на Линейния график с предложените организация и подход на изпълнение на поръчката.</w:t>
            </w:r>
          </w:p>
          <w:p w:rsidR="00922B81" w:rsidRDefault="00922B81" w:rsidP="00535BB6">
            <w:pPr>
              <w:spacing w:after="0" w:line="240" w:lineRule="auto"/>
              <w:rPr>
                <w:lang w:eastAsia="bg-BG"/>
              </w:rPr>
            </w:pPr>
          </w:p>
          <w:p w:rsidR="00922B81" w:rsidRDefault="00922B81" w:rsidP="00535BB6">
            <w:pPr>
              <w:spacing w:after="0" w:line="240" w:lineRule="auto"/>
              <w:rPr>
                <w:lang w:eastAsia="bg-BG"/>
              </w:rPr>
            </w:pPr>
          </w:p>
          <w:p w:rsidR="00922B81" w:rsidRDefault="00922B81" w:rsidP="00535BB6">
            <w:pPr>
              <w:spacing w:after="0" w:line="240" w:lineRule="auto"/>
              <w:rPr>
                <w:lang w:eastAsia="bg-BG"/>
              </w:rPr>
            </w:pPr>
          </w:p>
          <w:p w:rsidR="00922B81" w:rsidRDefault="00922B81" w:rsidP="00535BB6">
            <w:pPr>
              <w:spacing w:after="0" w:line="240" w:lineRule="auto"/>
              <w:rPr>
                <w:lang w:eastAsia="bg-BG"/>
              </w:rPr>
            </w:pPr>
          </w:p>
          <w:p w:rsidR="00922B81" w:rsidRPr="00535BB6" w:rsidRDefault="00922B81" w:rsidP="00535BB6">
            <w:pPr>
              <w:spacing w:after="0" w:line="240" w:lineRule="auto"/>
              <w:rPr>
                <w:lang w:eastAsia="bg-BG"/>
              </w:rPr>
            </w:pPr>
          </w:p>
        </w:tc>
      </w:tr>
      <w:tr w:rsidR="00DE6C61" w:rsidRPr="00AC1C8A" w:rsidTr="00922B81">
        <w:trPr>
          <w:trHeight w:val="701"/>
        </w:trPr>
        <w:tc>
          <w:tcPr>
            <w:tcW w:w="10504" w:type="dxa"/>
            <w:gridSpan w:val="4"/>
            <w:tcBorders>
              <w:top w:val="single" w:sz="4" w:space="0" w:color="auto"/>
              <w:left w:val="single" w:sz="4" w:space="0" w:color="auto"/>
              <w:bottom w:val="single" w:sz="4" w:space="0" w:color="auto"/>
              <w:right w:val="single" w:sz="4" w:space="0" w:color="auto"/>
            </w:tcBorders>
            <w:shd w:val="clear" w:color="000000" w:fill="FCD5B4"/>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lastRenderedPageBreak/>
              <w:t>МЕТОДИКА ЗА ОЦЕНКА НА ПРИЛОЖЕНИЕ А</w:t>
            </w:r>
            <w:r w:rsidRPr="00535BB6">
              <w:rPr>
                <w:b/>
                <w:bCs/>
                <w:sz w:val="22"/>
                <w:szCs w:val="22"/>
                <w:lang w:eastAsia="bg-BG"/>
              </w:rPr>
              <w:br/>
            </w:r>
            <w:r w:rsidRPr="00535BB6">
              <w:rPr>
                <w:b/>
                <w:bCs/>
                <w:sz w:val="22"/>
                <w:szCs w:val="22"/>
                <w:u w:val="single"/>
                <w:lang w:eastAsia="bg-BG"/>
              </w:rPr>
              <w:t>ПРОЕКТНО ПРЕДЛОЖЕНИЕ - 20% тежест</w:t>
            </w:r>
          </w:p>
        </w:tc>
      </w:tr>
      <w:tr w:rsidR="00DE6C61" w:rsidRPr="00AC1C8A" w:rsidTr="00535BB6">
        <w:trPr>
          <w:trHeight w:val="600"/>
        </w:trPr>
        <w:tc>
          <w:tcPr>
            <w:tcW w:w="660" w:type="dxa"/>
            <w:vMerge w:val="restart"/>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 по ред</w:t>
            </w:r>
          </w:p>
        </w:tc>
        <w:tc>
          <w:tcPr>
            <w:tcW w:w="7980" w:type="dxa"/>
            <w:vMerge w:val="restart"/>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Наименование на показателя за оценка</w:t>
            </w:r>
          </w:p>
        </w:tc>
        <w:tc>
          <w:tcPr>
            <w:tcW w:w="10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точки /бтi/</w:t>
            </w:r>
          </w:p>
        </w:tc>
        <w:tc>
          <w:tcPr>
            <w:tcW w:w="784"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относителна тежест</w:t>
            </w:r>
          </w:p>
        </w:tc>
      </w:tr>
      <w:tr w:rsidR="00DE6C61" w:rsidRPr="00AC1C8A" w:rsidTr="00922B81">
        <w:trPr>
          <w:trHeight w:val="185"/>
        </w:trPr>
        <w:tc>
          <w:tcPr>
            <w:tcW w:w="660"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lang w:eastAsia="bg-BG"/>
              </w:rPr>
            </w:pPr>
          </w:p>
        </w:tc>
        <w:tc>
          <w:tcPr>
            <w:tcW w:w="7980"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lang w:eastAsia="bg-BG"/>
              </w:rPr>
            </w:pPr>
          </w:p>
        </w:tc>
        <w:tc>
          <w:tcPr>
            <w:tcW w:w="10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брой</w:t>
            </w:r>
          </w:p>
        </w:tc>
        <w:tc>
          <w:tcPr>
            <w:tcW w:w="784"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w:t>
            </w:r>
          </w:p>
        </w:tc>
      </w:tr>
      <w:tr w:rsidR="00DE6C61" w:rsidRPr="00AC1C8A" w:rsidTr="00535BB6">
        <w:trPr>
          <w:trHeight w:val="300"/>
        </w:trPr>
        <w:tc>
          <w:tcPr>
            <w:tcW w:w="660" w:type="dxa"/>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1</w:t>
            </w:r>
          </w:p>
        </w:tc>
        <w:tc>
          <w:tcPr>
            <w:tcW w:w="79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2</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3</w:t>
            </w:r>
          </w:p>
        </w:tc>
        <w:tc>
          <w:tcPr>
            <w:tcW w:w="784"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4</w:t>
            </w:r>
          </w:p>
        </w:tc>
      </w:tr>
      <w:tr w:rsidR="00DE6C61" w:rsidRPr="00AC1C8A" w:rsidTr="00535BB6">
        <w:trPr>
          <w:trHeight w:val="300"/>
        </w:trPr>
        <w:tc>
          <w:tcPr>
            <w:tcW w:w="660" w:type="dxa"/>
            <w:tcBorders>
              <w:top w:val="nil"/>
              <w:left w:val="single" w:sz="4" w:space="0" w:color="auto"/>
              <w:bottom w:val="single" w:sz="4" w:space="0" w:color="auto"/>
              <w:right w:val="single" w:sz="4" w:space="0" w:color="auto"/>
            </w:tcBorders>
            <w:shd w:val="clear" w:color="000000" w:fill="FDE9D9"/>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1</w:t>
            </w:r>
          </w:p>
        </w:tc>
        <w:tc>
          <w:tcPr>
            <w:tcW w:w="7980" w:type="dxa"/>
            <w:tcBorders>
              <w:top w:val="nil"/>
              <w:left w:val="nil"/>
              <w:bottom w:val="single" w:sz="4" w:space="0" w:color="auto"/>
              <w:right w:val="single" w:sz="4" w:space="0" w:color="auto"/>
            </w:tcBorders>
            <w:shd w:val="clear" w:color="000000" w:fill="FDE9D9"/>
            <w:vAlign w:val="center"/>
          </w:tcPr>
          <w:p w:rsidR="00DE6C61" w:rsidRPr="00535BB6" w:rsidRDefault="00DE6C61" w:rsidP="00535BB6">
            <w:pPr>
              <w:spacing w:after="0" w:line="240" w:lineRule="auto"/>
              <w:rPr>
                <w:b/>
                <w:bCs/>
                <w:lang w:eastAsia="bg-BG"/>
              </w:rPr>
            </w:pPr>
            <w:r w:rsidRPr="00535BB6">
              <w:rPr>
                <w:b/>
                <w:bCs/>
                <w:sz w:val="22"/>
                <w:szCs w:val="22"/>
                <w:lang w:eastAsia="bg-BG"/>
              </w:rPr>
              <w:t>Организация за изпълнение на инвестиционното проектиране</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100</w:t>
            </w:r>
          </w:p>
        </w:tc>
        <w:tc>
          <w:tcPr>
            <w:tcW w:w="784" w:type="dxa"/>
            <w:vMerge w:val="restart"/>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20</w:t>
            </w:r>
          </w:p>
        </w:tc>
      </w:tr>
      <w:tr w:rsidR="00DE6C61" w:rsidRPr="00AC1C8A" w:rsidTr="00535BB6">
        <w:trPr>
          <w:trHeight w:val="39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DE6C61" w:rsidRDefault="00DE6C61" w:rsidP="00A8289A">
            <w:r w:rsidRPr="00535BB6">
              <w:rPr>
                <w:sz w:val="22"/>
                <w:szCs w:val="22"/>
                <w:lang w:eastAsia="bg-BG"/>
              </w:rPr>
              <w:t xml:space="preserve">Предложената концепция и организация осигурява и удовлетворява изискванията за </w:t>
            </w:r>
            <w:r w:rsidR="00EF4E4D" w:rsidRPr="00BD073E">
              <w:rPr>
                <w:sz w:val="22"/>
                <w:szCs w:val="22"/>
                <w:lang w:eastAsia="bg-BG"/>
              </w:rPr>
              <w:t>обхват и</w:t>
            </w:r>
            <w:r w:rsidR="00EF4E4D">
              <w:rPr>
                <w:sz w:val="22"/>
                <w:szCs w:val="22"/>
                <w:lang w:eastAsia="bg-BG"/>
              </w:rPr>
              <w:t xml:space="preserve"> </w:t>
            </w:r>
            <w:r w:rsidRPr="00535BB6">
              <w:rPr>
                <w:sz w:val="22"/>
                <w:szCs w:val="22"/>
                <w:lang w:eastAsia="bg-BG"/>
              </w:rPr>
              <w:t xml:space="preserve">цялост </w:t>
            </w:r>
            <w:r w:rsidR="00556302">
              <w:rPr>
                <w:sz w:val="22"/>
                <w:szCs w:val="22"/>
                <w:lang w:eastAsia="bg-BG"/>
              </w:rPr>
              <w:t>н</w:t>
            </w:r>
            <w:r w:rsidRPr="00535BB6">
              <w:rPr>
                <w:sz w:val="22"/>
                <w:szCs w:val="22"/>
                <w:lang w:eastAsia="bg-BG"/>
              </w:rPr>
              <w:t xml:space="preserve">а изпълнение на </w:t>
            </w:r>
            <w:r w:rsidR="00556302">
              <w:rPr>
                <w:sz w:val="22"/>
                <w:szCs w:val="22"/>
                <w:lang w:eastAsia="bg-BG"/>
              </w:rPr>
              <w:t>инвестиционното проектиране</w:t>
            </w:r>
            <w:r w:rsidRPr="00535BB6">
              <w:rPr>
                <w:sz w:val="22"/>
                <w:szCs w:val="22"/>
                <w:lang w:eastAsia="bg-BG"/>
              </w:rPr>
              <w:t xml:space="preserve">, в това число: </w:t>
            </w:r>
            <w:r w:rsidR="00EF4E4D" w:rsidRPr="00A8289A">
              <w:rPr>
                <w:sz w:val="22"/>
                <w:szCs w:val="22"/>
                <w:lang w:eastAsia="bg-BG"/>
              </w:rPr>
              <w:t xml:space="preserve">основните дейности, които задължително следва да бъдат </w:t>
            </w:r>
            <w:r w:rsidR="00BD073E" w:rsidRPr="00A8289A">
              <w:rPr>
                <w:sz w:val="22"/>
                <w:szCs w:val="22"/>
                <w:lang w:eastAsia="bg-BG"/>
              </w:rPr>
              <w:t xml:space="preserve">заложени </w:t>
            </w:r>
            <w:r w:rsidR="00A8289A">
              <w:rPr>
                <w:sz w:val="22"/>
                <w:szCs w:val="22"/>
                <w:lang w:eastAsia="bg-BG"/>
              </w:rPr>
              <w:t xml:space="preserve">- </w:t>
            </w:r>
            <w:r w:rsidR="00A8289A" w:rsidRPr="00A8289A">
              <w:rPr>
                <w:sz w:val="22"/>
                <w:szCs w:val="22"/>
              </w:rPr>
              <w:t>функционално планиране и преустройство на учебните помещения във връзка с изискванията на учебния процес; осигуряване на достъп на хора с увреждания до всички нива на сградата; ново изпълнение на архитектурно - строителните работи и инсталациите с цел повишаване на комфорта и енергийната ефективност на сградата; конструктивно укрепване на конструкцията на сградата; оформяне на околните пространства</w:t>
            </w:r>
            <w:r w:rsidR="00F82725" w:rsidRPr="00A8289A">
              <w:rPr>
                <w:sz w:val="22"/>
                <w:szCs w:val="22"/>
                <w:lang w:eastAsia="bg-BG"/>
              </w:rPr>
              <w:t>.</w:t>
            </w:r>
            <w:r w:rsidR="00556302" w:rsidRPr="00A8289A">
              <w:rPr>
                <w:sz w:val="22"/>
                <w:szCs w:val="22"/>
                <w:lang w:eastAsia="bg-BG"/>
              </w:rPr>
              <w:t xml:space="preserve"> От предложената организация е видно,</w:t>
            </w:r>
            <w:r w:rsidR="00556302" w:rsidRPr="00535BB6">
              <w:rPr>
                <w:sz w:val="22"/>
                <w:szCs w:val="22"/>
                <w:lang w:eastAsia="bg-BG"/>
              </w:rPr>
              <w:t xml:space="preserve"> че са съобразени всички процедури по съгласуване на инвестиционните проекти с компетентните контролни органи до получаване на разрешение за строеж.</w:t>
            </w:r>
            <w:r w:rsidR="00922B81">
              <w:rPr>
                <w:sz w:val="22"/>
                <w:szCs w:val="22"/>
                <w:lang w:eastAsia="bg-BG"/>
              </w:rPr>
              <w:t xml:space="preserve"> </w:t>
            </w:r>
            <w:r w:rsidR="00F82725">
              <w:rPr>
                <w:sz w:val="22"/>
                <w:szCs w:val="22"/>
                <w:lang w:eastAsia="bg-BG"/>
              </w:rPr>
              <w:t>Разгледани са възможните рискове, които биха оказали влияние върху изпълнение на инвестиционния проект и са предвидени</w:t>
            </w:r>
            <w:r w:rsidRPr="00535BB6">
              <w:rPr>
                <w:sz w:val="22"/>
                <w:szCs w:val="22"/>
                <w:lang w:eastAsia="bg-BG"/>
              </w:rPr>
              <w:t xml:space="preserve"> мерки за минимизиране на риска още на фаза инвестиционен проект. </w:t>
            </w:r>
          </w:p>
          <w:p w:rsidR="00922B81" w:rsidRPr="00535BB6" w:rsidRDefault="00922B81" w:rsidP="00922B81">
            <w:pPr>
              <w:spacing w:after="0" w:line="240" w:lineRule="auto"/>
              <w:rPr>
                <w:lang w:eastAsia="bg-BG"/>
              </w:rPr>
            </w:pP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100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27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556302" w:rsidRDefault="00556302" w:rsidP="00922B81">
            <w:pPr>
              <w:spacing w:after="0" w:line="240" w:lineRule="auto"/>
              <w:rPr>
                <w:lang w:eastAsia="bg-BG"/>
              </w:rPr>
            </w:pPr>
            <w:r w:rsidRPr="00535BB6">
              <w:rPr>
                <w:sz w:val="22"/>
                <w:szCs w:val="22"/>
                <w:lang w:eastAsia="bg-BG"/>
              </w:rPr>
              <w:t xml:space="preserve">Предложената концепция и организация осигурява и удовлетворява изискванията за </w:t>
            </w:r>
            <w:r w:rsidRPr="00BD073E">
              <w:rPr>
                <w:sz w:val="22"/>
                <w:szCs w:val="22"/>
                <w:lang w:eastAsia="bg-BG"/>
              </w:rPr>
              <w:t>обхват и</w:t>
            </w:r>
            <w:r>
              <w:rPr>
                <w:sz w:val="22"/>
                <w:szCs w:val="22"/>
                <w:lang w:eastAsia="bg-BG"/>
              </w:rPr>
              <w:t xml:space="preserve"> </w:t>
            </w:r>
            <w:r w:rsidRPr="00535BB6">
              <w:rPr>
                <w:sz w:val="22"/>
                <w:szCs w:val="22"/>
                <w:lang w:eastAsia="bg-BG"/>
              </w:rPr>
              <w:t xml:space="preserve">цялост </w:t>
            </w:r>
            <w:r>
              <w:rPr>
                <w:sz w:val="22"/>
                <w:szCs w:val="22"/>
                <w:lang w:eastAsia="bg-BG"/>
              </w:rPr>
              <w:t>н</w:t>
            </w:r>
            <w:r w:rsidRPr="00535BB6">
              <w:rPr>
                <w:sz w:val="22"/>
                <w:szCs w:val="22"/>
                <w:lang w:eastAsia="bg-BG"/>
              </w:rPr>
              <w:t xml:space="preserve">а изпълнение на </w:t>
            </w:r>
            <w:r>
              <w:rPr>
                <w:sz w:val="22"/>
                <w:szCs w:val="22"/>
                <w:lang w:eastAsia="bg-BG"/>
              </w:rPr>
              <w:t xml:space="preserve">инвестиционното </w:t>
            </w:r>
            <w:r w:rsidRPr="008C53EB">
              <w:rPr>
                <w:sz w:val="22"/>
                <w:szCs w:val="22"/>
                <w:lang w:eastAsia="bg-BG"/>
              </w:rPr>
              <w:t xml:space="preserve">проектиране, в това число: основните дейности, които задължително следва да бъдат заложени - </w:t>
            </w:r>
            <w:r w:rsidR="008C53EB" w:rsidRPr="00A8289A">
              <w:rPr>
                <w:sz w:val="22"/>
                <w:szCs w:val="22"/>
              </w:rPr>
              <w:t>функционално планиране и преустройство на учебните помещения във връзка с изискванията на учебния процес; осигуряване на достъп на хора с увреждания до всички нива на сградата; ново изпълнение на архитектурно - строителните работи и инсталациите с цел повишаване на комфорта и енергийната ефективност на сградата; конструктивно укрепване на конструкцията на сградата; оформяне на околните пространства</w:t>
            </w:r>
            <w:r w:rsidR="008C53EB" w:rsidRPr="00A8289A">
              <w:rPr>
                <w:sz w:val="22"/>
                <w:szCs w:val="22"/>
                <w:lang w:eastAsia="bg-BG"/>
              </w:rPr>
              <w:t xml:space="preserve">. </w:t>
            </w:r>
            <w:r w:rsidRPr="00535BB6">
              <w:rPr>
                <w:sz w:val="22"/>
                <w:szCs w:val="22"/>
                <w:lang w:eastAsia="bg-BG"/>
              </w:rPr>
              <w:t xml:space="preserve">От предложената организация </w:t>
            </w:r>
            <w:r>
              <w:rPr>
                <w:sz w:val="22"/>
                <w:szCs w:val="22"/>
                <w:lang w:eastAsia="bg-BG"/>
              </w:rPr>
              <w:t xml:space="preserve">не </w:t>
            </w:r>
            <w:r w:rsidRPr="00535BB6">
              <w:rPr>
                <w:sz w:val="22"/>
                <w:szCs w:val="22"/>
                <w:lang w:eastAsia="bg-BG"/>
              </w:rPr>
              <w:t>е видно, че са съобразени всички процедури по съгласуване на инвестиционните проекти с компетентните контролни органи до получаване на разрешение за строеж.</w:t>
            </w:r>
            <w:r w:rsidR="00922B81">
              <w:rPr>
                <w:sz w:val="22"/>
                <w:szCs w:val="22"/>
                <w:lang w:eastAsia="bg-BG"/>
              </w:rPr>
              <w:t xml:space="preserve"> </w:t>
            </w:r>
            <w:r>
              <w:rPr>
                <w:sz w:val="22"/>
                <w:szCs w:val="22"/>
                <w:lang w:eastAsia="bg-BG"/>
              </w:rPr>
              <w:t>Разгледани са възможните рискове, които биха оказали влияние върху изпълнение на инвестиционния проект</w:t>
            </w:r>
            <w:r w:rsidR="00C940A3">
              <w:rPr>
                <w:sz w:val="22"/>
                <w:szCs w:val="22"/>
                <w:lang w:eastAsia="bg-BG"/>
              </w:rPr>
              <w:t>, но не са</w:t>
            </w:r>
            <w:r>
              <w:rPr>
                <w:sz w:val="22"/>
                <w:szCs w:val="22"/>
                <w:lang w:eastAsia="bg-BG"/>
              </w:rPr>
              <w:t xml:space="preserve"> предвидени</w:t>
            </w:r>
            <w:r w:rsidRPr="00535BB6">
              <w:rPr>
                <w:sz w:val="22"/>
                <w:szCs w:val="22"/>
                <w:lang w:eastAsia="bg-BG"/>
              </w:rPr>
              <w:t xml:space="preserve"> мерки за минимизиране на риска още на фаза инвестиционен проект.</w:t>
            </w:r>
          </w:p>
          <w:p w:rsidR="00922B81" w:rsidRPr="00535BB6" w:rsidRDefault="00922B81" w:rsidP="00922B81">
            <w:pPr>
              <w:spacing w:after="0" w:line="240" w:lineRule="auto"/>
              <w:rPr>
                <w:lang w:eastAsia="bg-BG"/>
              </w:rPr>
            </w:pP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60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922B81">
        <w:trPr>
          <w:trHeight w:val="56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556302" w:rsidRPr="00535BB6" w:rsidRDefault="00556302" w:rsidP="008C53EB">
            <w:pPr>
              <w:spacing w:after="0" w:line="240" w:lineRule="auto"/>
              <w:rPr>
                <w:lang w:eastAsia="bg-BG"/>
              </w:rPr>
            </w:pPr>
            <w:r w:rsidRPr="00535BB6">
              <w:rPr>
                <w:sz w:val="22"/>
                <w:szCs w:val="22"/>
                <w:lang w:eastAsia="bg-BG"/>
              </w:rPr>
              <w:t xml:space="preserve">Предложената концепция и организация осигурява и удовлетворява изискванията за </w:t>
            </w:r>
            <w:r w:rsidRPr="00BD073E">
              <w:rPr>
                <w:sz w:val="22"/>
                <w:szCs w:val="22"/>
                <w:lang w:eastAsia="bg-BG"/>
              </w:rPr>
              <w:t>обхват и</w:t>
            </w:r>
            <w:r>
              <w:rPr>
                <w:sz w:val="22"/>
                <w:szCs w:val="22"/>
                <w:lang w:eastAsia="bg-BG"/>
              </w:rPr>
              <w:t xml:space="preserve"> </w:t>
            </w:r>
            <w:r w:rsidRPr="00535BB6">
              <w:rPr>
                <w:sz w:val="22"/>
                <w:szCs w:val="22"/>
                <w:lang w:eastAsia="bg-BG"/>
              </w:rPr>
              <w:t xml:space="preserve">цялост </w:t>
            </w:r>
            <w:r>
              <w:rPr>
                <w:sz w:val="22"/>
                <w:szCs w:val="22"/>
                <w:lang w:eastAsia="bg-BG"/>
              </w:rPr>
              <w:t>н</w:t>
            </w:r>
            <w:r w:rsidRPr="00535BB6">
              <w:rPr>
                <w:sz w:val="22"/>
                <w:szCs w:val="22"/>
                <w:lang w:eastAsia="bg-BG"/>
              </w:rPr>
              <w:t xml:space="preserve">а изпълнение на </w:t>
            </w:r>
            <w:r>
              <w:rPr>
                <w:sz w:val="22"/>
                <w:szCs w:val="22"/>
                <w:lang w:eastAsia="bg-BG"/>
              </w:rPr>
              <w:t>инвестиционното проектиране</w:t>
            </w:r>
            <w:r w:rsidRPr="00535BB6">
              <w:rPr>
                <w:sz w:val="22"/>
                <w:szCs w:val="22"/>
                <w:lang w:eastAsia="bg-BG"/>
              </w:rPr>
              <w:t xml:space="preserve">, в това число: </w:t>
            </w:r>
            <w:r>
              <w:rPr>
                <w:sz w:val="22"/>
                <w:szCs w:val="22"/>
                <w:lang w:eastAsia="bg-BG"/>
              </w:rPr>
              <w:t xml:space="preserve">основните дейности, които задължително следва да бъдат </w:t>
            </w:r>
            <w:r w:rsidRPr="008C53EB">
              <w:rPr>
                <w:sz w:val="22"/>
                <w:szCs w:val="22"/>
                <w:lang w:eastAsia="bg-BG"/>
              </w:rPr>
              <w:t xml:space="preserve">заложени - </w:t>
            </w:r>
            <w:r w:rsidR="00346896">
              <w:rPr>
                <w:sz w:val="22"/>
                <w:szCs w:val="22"/>
                <w:lang w:val="en-US" w:eastAsia="bg-BG"/>
              </w:rPr>
              <w:t xml:space="preserve"> </w:t>
            </w:r>
            <w:r w:rsidR="008C53EB" w:rsidRPr="00A8289A">
              <w:rPr>
                <w:sz w:val="22"/>
                <w:szCs w:val="22"/>
              </w:rPr>
              <w:t>функционално планиране и преустройство на учебните помещения във връзка с изискванията на учебния процес; осигуряване на достъп на хора с увреждания до всички нива на сградата; ново изпълнение на архитектурно - строителните работи и инсталациите с цел повишаване на комфорта и енергийната ефективност на сградата; конструктивно укрепване на конструкцията на сградата; оформяне на околните пространства</w:t>
            </w:r>
            <w:r w:rsidR="008C53EB" w:rsidRPr="00A8289A">
              <w:rPr>
                <w:sz w:val="22"/>
                <w:szCs w:val="22"/>
                <w:lang w:eastAsia="bg-BG"/>
              </w:rPr>
              <w:t xml:space="preserve">. </w:t>
            </w:r>
            <w:r w:rsidRPr="00535BB6">
              <w:rPr>
                <w:sz w:val="22"/>
                <w:szCs w:val="22"/>
                <w:lang w:eastAsia="bg-BG"/>
              </w:rPr>
              <w:t xml:space="preserve">От предложената организация </w:t>
            </w:r>
            <w:r w:rsidR="00861720">
              <w:rPr>
                <w:sz w:val="22"/>
                <w:szCs w:val="22"/>
                <w:lang w:eastAsia="bg-BG"/>
              </w:rPr>
              <w:t xml:space="preserve">не </w:t>
            </w:r>
            <w:r w:rsidRPr="00535BB6">
              <w:rPr>
                <w:sz w:val="22"/>
                <w:szCs w:val="22"/>
                <w:lang w:eastAsia="bg-BG"/>
              </w:rPr>
              <w:t>е видно, че са съобразени всички процедури по съгласуване на инвестиционните проекти с компетентните контролни органи до получаване на разрешение за строеж.</w:t>
            </w:r>
            <w:r>
              <w:rPr>
                <w:sz w:val="22"/>
                <w:szCs w:val="22"/>
                <w:lang w:eastAsia="bg-BG"/>
              </w:rPr>
              <w:t xml:space="preserve"> Не са разгледани възможните рискове, които биха оказали влияние върху изпълнение на инвестиционния проект и не са предвидени</w:t>
            </w:r>
            <w:r w:rsidRPr="00535BB6">
              <w:rPr>
                <w:sz w:val="22"/>
                <w:szCs w:val="22"/>
                <w:lang w:eastAsia="bg-BG"/>
              </w:rPr>
              <w:t xml:space="preserve"> мерки за минимизиране на риска още на фаза инвестиционен проект. </w:t>
            </w:r>
            <w:r w:rsidR="0080271D" w:rsidRPr="00535BB6">
              <w:rPr>
                <w:sz w:val="22"/>
                <w:szCs w:val="22"/>
                <w:lang w:eastAsia="bg-BG"/>
              </w:rPr>
              <w:t xml:space="preserve">Това може да доведе до необходимост от извършване на допълнителни дейности и разходи от страна на Възложителя, </w:t>
            </w:r>
            <w:r w:rsidR="0080271D" w:rsidRPr="00535BB6">
              <w:rPr>
                <w:sz w:val="22"/>
                <w:szCs w:val="22"/>
                <w:lang w:eastAsia="bg-BG"/>
              </w:rPr>
              <w:lastRenderedPageBreak/>
              <w:t>независимо че Участникът е гарантирал изпълнението на пълния обхват на предмета на поръчката, съобразно изискванията Възложителя</w:t>
            </w:r>
            <w:r w:rsidR="0080271D">
              <w:rPr>
                <w:sz w:val="22"/>
                <w:szCs w:val="22"/>
                <w:lang w:eastAsia="bg-BG"/>
              </w:rPr>
              <w:t>.</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lastRenderedPageBreak/>
              <w:t>10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480"/>
        </w:trPr>
        <w:tc>
          <w:tcPr>
            <w:tcW w:w="8640" w:type="dxa"/>
            <w:gridSpan w:val="2"/>
            <w:tcBorders>
              <w:top w:val="single" w:sz="4" w:space="0" w:color="auto"/>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right"/>
              <w:rPr>
                <w:b/>
                <w:bCs/>
                <w:lang w:eastAsia="bg-BG"/>
              </w:rPr>
            </w:pPr>
            <w:r w:rsidRPr="00535BB6">
              <w:rPr>
                <w:b/>
                <w:bCs/>
                <w:sz w:val="22"/>
                <w:szCs w:val="22"/>
                <w:lang w:eastAsia="bg-BG"/>
              </w:rPr>
              <w:lastRenderedPageBreak/>
              <w:t>ОБЩО:</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100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510"/>
        </w:trPr>
        <w:tc>
          <w:tcPr>
            <w:tcW w:w="10504" w:type="dxa"/>
            <w:gridSpan w:val="4"/>
            <w:tcBorders>
              <w:top w:val="single" w:sz="4" w:space="0" w:color="auto"/>
              <w:left w:val="single" w:sz="4" w:space="0" w:color="auto"/>
              <w:bottom w:val="single" w:sz="4" w:space="0" w:color="auto"/>
              <w:right w:val="single" w:sz="4" w:space="0" w:color="auto"/>
            </w:tcBorders>
            <w:shd w:val="clear" w:color="000000" w:fill="EAF1DD"/>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ОценкаА = /бт1/х20%, брой точки</w:t>
            </w:r>
          </w:p>
        </w:tc>
      </w:tr>
      <w:tr w:rsidR="00DE6C61" w:rsidRPr="00AC1C8A" w:rsidTr="00535BB6">
        <w:trPr>
          <w:trHeight w:val="36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980" w:type="dxa"/>
            <w:tcBorders>
              <w:top w:val="nil"/>
              <w:left w:val="nil"/>
              <w:bottom w:val="nil"/>
              <w:right w:val="nil"/>
            </w:tcBorders>
            <w:noWrap/>
            <w:vAlign w:val="center"/>
          </w:tcPr>
          <w:p w:rsidR="00DE6C61" w:rsidRDefault="00DE6C61" w:rsidP="00535BB6">
            <w:pPr>
              <w:spacing w:after="0" w:line="240" w:lineRule="auto"/>
              <w:rPr>
                <w:lang w:eastAsia="bg-BG"/>
              </w:rPr>
            </w:pPr>
          </w:p>
          <w:p w:rsidR="0080271D" w:rsidRDefault="0080271D" w:rsidP="00535BB6">
            <w:pPr>
              <w:spacing w:after="0" w:line="240" w:lineRule="auto"/>
              <w:rPr>
                <w:lang w:eastAsia="bg-BG"/>
              </w:rPr>
            </w:pPr>
          </w:p>
          <w:p w:rsidR="00DE6C61" w:rsidRPr="00535BB6" w:rsidRDefault="00DE6C61" w:rsidP="00535BB6">
            <w:pPr>
              <w:spacing w:after="0" w:line="240" w:lineRule="auto"/>
              <w:rPr>
                <w:lang w:eastAsia="bg-BG"/>
              </w:rPr>
            </w:pP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r w:rsidR="00DE6C61" w:rsidRPr="00AC1C8A" w:rsidTr="00535BB6">
        <w:trPr>
          <w:trHeight w:val="690"/>
        </w:trPr>
        <w:tc>
          <w:tcPr>
            <w:tcW w:w="10504" w:type="dxa"/>
            <w:gridSpan w:val="4"/>
            <w:tcBorders>
              <w:top w:val="single" w:sz="4" w:space="0" w:color="auto"/>
              <w:left w:val="single" w:sz="4" w:space="0" w:color="auto"/>
              <w:bottom w:val="single" w:sz="4" w:space="0" w:color="auto"/>
              <w:right w:val="single" w:sz="4" w:space="0" w:color="auto"/>
            </w:tcBorders>
            <w:shd w:val="clear" w:color="000000" w:fill="FCD5B4"/>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МЕТОДИКА ЗА ОЦЕНКА НА ПРИЛОЖЕНИЕ Б</w:t>
            </w:r>
            <w:r w:rsidRPr="00535BB6">
              <w:rPr>
                <w:b/>
                <w:bCs/>
                <w:sz w:val="22"/>
                <w:szCs w:val="22"/>
                <w:lang w:eastAsia="bg-BG"/>
              </w:rPr>
              <w:br/>
            </w:r>
            <w:r w:rsidRPr="00535BB6">
              <w:rPr>
                <w:b/>
                <w:bCs/>
                <w:sz w:val="22"/>
                <w:szCs w:val="22"/>
                <w:u w:val="single"/>
                <w:lang w:eastAsia="bg-BG"/>
              </w:rPr>
              <w:t>ТЕХНОЛОГИЯ И ОРГАНИЗАЦИЯ ЗА ИЗПЪЛНЕНИЕ НА СТРОИТЕЛНО-МОНТАЖНИТЕ РАБОТИ - 30 % тежест</w:t>
            </w:r>
          </w:p>
        </w:tc>
      </w:tr>
      <w:tr w:rsidR="00DE6C61" w:rsidRPr="00AC1C8A" w:rsidTr="00535BB6">
        <w:trPr>
          <w:trHeight w:val="600"/>
        </w:trPr>
        <w:tc>
          <w:tcPr>
            <w:tcW w:w="660" w:type="dxa"/>
            <w:vMerge w:val="restart"/>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 по ред</w:t>
            </w:r>
          </w:p>
        </w:tc>
        <w:tc>
          <w:tcPr>
            <w:tcW w:w="7980" w:type="dxa"/>
            <w:vMerge w:val="restart"/>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Наименование на показателя за оценка</w:t>
            </w:r>
          </w:p>
        </w:tc>
        <w:tc>
          <w:tcPr>
            <w:tcW w:w="10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точки /бтi/</w:t>
            </w:r>
          </w:p>
        </w:tc>
        <w:tc>
          <w:tcPr>
            <w:tcW w:w="784"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относителна тежест</w:t>
            </w:r>
          </w:p>
        </w:tc>
      </w:tr>
      <w:tr w:rsidR="00DE6C61" w:rsidRPr="00AC1C8A" w:rsidTr="00535BB6">
        <w:trPr>
          <w:trHeight w:val="300"/>
        </w:trPr>
        <w:tc>
          <w:tcPr>
            <w:tcW w:w="660"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lang w:eastAsia="bg-BG"/>
              </w:rPr>
            </w:pPr>
          </w:p>
        </w:tc>
        <w:tc>
          <w:tcPr>
            <w:tcW w:w="7980"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lang w:eastAsia="bg-BG"/>
              </w:rPr>
            </w:pPr>
          </w:p>
        </w:tc>
        <w:tc>
          <w:tcPr>
            <w:tcW w:w="10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брой</w:t>
            </w:r>
          </w:p>
        </w:tc>
        <w:tc>
          <w:tcPr>
            <w:tcW w:w="784"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w:t>
            </w:r>
          </w:p>
        </w:tc>
      </w:tr>
      <w:tr w:rsidR="00DE6C61" w:rsidRPr="00AC1C8A" w:rsidTr="00535BB6">
        <w:trPr>
          <w:trHeight w:val="330"/>
        </w:trPr>
        <w:tc>
          <w:tcPr>
            <w:tcW w:w="660" w:type="dxa"/>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1</w:t>
            </w:r>
          </w:p>
        </w:tc>
        <w:tc>
          <w:tcPr>
            <w:tcW w:w="79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2</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3</w:t>
            </w:r>
          </w:p>
        </w:tc>
        <w:tc>
          <w:tcPr>
            <w:tcW w:w="784"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4</w:t>
            </w:r>
          </w:p>
        </w:tc>
      </w:tr>
      <w:tr w:rsidR="00DE6C61" w:rsidRPr="00AC1C8A" w:rsidTr="00535BB6">
        <w:trPr>
          <w:trHeight w:val="360"/>
        </w:trPr>
        <w:tc>
          <w:tcPr>
            <w:tcW w:w="660" w:type="dxa"/>
            <w:tcBorders>
              <w:top w:val="nil"/>
              <w:left w:val="single" w:sz="4" w:space="0" w:color="auto"/>
              <w:bottom w:val="single" w:sz="4" w:space="0" w:color="auto"/>
              <w:right w:val="single" w:sz="4" w:space="0" w:color="auto"/>
            </w:tcBorders>
            <w:shd w:val="clear" w:color="000000" w:fill="FDE9D9"/>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1</w:t>
            </w:r>
          </w:p>
        </w:tc>
        <w:tc>
          <w:tcPr>
            <w:tcW w:w="7980" w:type="dxa"/>
            <w:tcBorders>
              <w:top w:val="nil"/>
              <w:left w:val="nil"/>
              <w:bottom w:val="single" w:sz="4" w:space="0" w:color="auto"/>
              <w:right w:val="single" w:sz="4" w:space="0" w:color="auto"/>
            </w:tcBorders>
            <w:shd w:val="clear" w:color="000000" w:fill="FDE9D9"/>
            <w:vAlign w:val="center"/>
          </w:tcPr>
          <w:p w:rsidR="00DE6C61" w:rsidRPr="00535BB6" w:rsidRDefault="00DE6C61" w:rsidP="00535BB6">
            <w:pPr>
              <w:spacing w:after="0" w:line="240" w:lineRule="auto"/>
              <w:rPr>
                <w:b/>
                <w:bCs/>
                <w:lang w:eastAsia="bg-BG"/>
              </w:rPr>
            </w:pPr>
            <w:r w:rsidRPr="00535BB6">
              <w:rPr>
                <w:b/>
                <w:bCs/>
                <w:sz w:val="22"/>
                <w:szCs w:val="22"/>
                <w:lang w:eastAsia="bg-BG"/>
              </w:rPr>
              <w:t>Технология за изпълнение на строително-монтажнии работи</w:t>
            </w:r>
          </w:p>
        </w:tc>
        <w:tc>
          <w:tcPr>
            <w:tcW w:w="1080" w:type="dxa"/>
            <w:tcBorders>
              <w:top w:val="nil"/>
              <w:left w:val="nil"/>
              <w:bottom w:val="single" w:sz="4" w:space="0" w:color="auto"/>
              <w:right w:val="single" w:sz="4" w:space="0" w:color="auto"/>
            </w:tcBorders>
            <w:shd w:val="clear" w:color="000000" w:fill="FDE9D9"/>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40</w:t>
            </w:r>
          </w:p>
        </w:tc>
        <w:tc>
          <w:tcPr>
            <w:tcW w:w="784" w:type="dxa"/>
            <w:vMerge w:val="restart"/>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30</w:t>
            </w:r>
          </w:p>
        </w:tc>
      </w:tr>
      <w:tr w:rsidR="00DE6C61" w:rsidRPr="00AC1C8A" w:rsidTr="00535BB6">
        <w:trPr>
          <w:trHeight w:val="18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rPr>
                <w:lang w:eastAsia="bg-BG"/>
              </w:rPr>
            </w:pPr>
            <w:r w:rsidRPr="00535BB6">
              <w:rPr>
                <w:sz w:val="22"/>
                <w:szCs w:val="22"/>
                <w:lang w:eastAsia="bg-BG"/>
              </w:rPr>
              <w:t>При описани: правилна технологична последователност на всички строителни работи (представени в линейния график) и разбиването им по дейности със съответните операции, представени условия за започване на съответната работа, обхват на работите, контрол на материалите, вземания на проби и изследвания, времеви и температурни ограничения, права и отговорности на участниците, безопастност на труда.</w:t>
            </w:r>
            <w:r w:rsidR="00345068">
              <w:rPr>
                <w:sz w:val="22"/>
                <w:szCs w:val="22"/>
                <w:lang w:eastAsia="bg-BG"/>
              </w:rPr>
              <w:t xml:space="preserve"> Участникът е описал и аргументирал приложението на добри практики.</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40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21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DE6C61" w:rsidRPr="00535BB6" w:rsidRDefault="00DE6C61" w:rsidP="00073D45">
            <w:pPr>
              <w:spacing w:after="0" w:line="240" w:lineRule="auto"/>
              <w:rPr>
                <w:lang w:eastAsia="bg-BG"/>
              </w:rPr>
            </w:pPr>
            <w:r w:rsidRPr="00535BB6">
              <w:rPr>
                <w:sz w:val="22"/>
                <w:szCs w:val="22"/>
                <w:lang w:eastAsia="bg-BG"/>
              </w:rPr>
              <w:t>При описани: правилна технологична последователност на всички строителни работи (представени в линейния график) и разбиването им по дейности със съответните операции, представени условия за започване на съответната работа, обхват на работите, контрол на материалите, вземания на проби и изследвания, времеви и температурни ограничения, права и отговорности на участниците, безопастност на труда, но</w:t>
            </w:r>
            <w:r w:rsidR="00345068">
              <w:rPr>
                <w:sz w:val="22"/>
                <w:szCs w:val="22"/>
                <w:lang w:eastAsia="bg-BG"/>
              </w:rPr>
              <w:t xml:space="preserve"> са</w:t>
            </w:r>
            <w:r w:rsidRPr="00535BB6">
              <w:rPr>
                <w:sz w:val="22"/>
                <w:szCs w:val="22"/>
                <w:lang w:eastAsia="bg-BG"/>
              </w:rPr>
              <w:t xml:space="preserve"> установени 2 </w:t>
            </w:r>
            <w:r w:rsidR="00AB6E00">
              <w:rPr>
                <w:sz w:val="22"/>
                <w:szCs w:val="22"/>
                <w:lang w:eastAsia="bg-BG"/>
              </w:rPr>
              <w:t>дейности,</w:t>
            </w:r>
            <w:r w:rsidR="00073D45">
              <w:rPr>
                <w:sz w:val="22"/>
                <w:szCs w:val="22"/>
                <w:lang w:eastAsia="bg-BG"/>
              </w:rPr>
              <w:t xml:space="preserve"> за</w:t>
            </w:r>
            <w:r w:rsidR="00345068">
              <w:rPr>
                <w:sz w:val="22"/>
                <w:szCs w:val="22"/>
                <w:lang w:eastAsia="bg-BG"/>
              </w:rPr>
              <w:t xml:space="preserve"> </w:t>
            </w:r>
            <w:r w:rsidR="00AB6E00">
              <w:rPr>
                <w:sz w:val="22"/>
                <w:szCs w:val="22"/>
                <w:lang w:eastAsia="bg-BG"/>
              </w:rPr>
              <w:t xml:space="preserve">които </w:t>
            </w:r>
            <w:r w:rsidR="00073D45">
              <w:rPr>
                <w:sz w:val="22"/>
                <w:szCs w:val="22"/>
                <w:lang w:eastAsia="bg-BG"/>
              </w:rPr>
              <w:t>не са описани съответните операции и условия за започване.</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25</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21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DE6C61" w:rsidRPr="00535BB6" w:rsidRDefault="00DE6C61" w:rsidP="00073D45">
            <w:pPr>
              <w:spacing w:after="0" w:line="240" w:lineRule="auto"/>
              <w:rPr>
                <w:lang w:eastAsia="bg-BG"/>
              </w:rPr>
            </w:pPr>
            <w:r w:rsidRPr="00535BB6">
              <w:rPr>
                <w:sz w:val="22"/>
                <w:szCs w:val="22"/>
                <w:lang w:eastAsia="bg-BG"/>
              </w:rPr>
              <w:t>При описани: правилна технологична последователност на всички строителни работи (представени в линейния график) и разбиването им по дейности със съответните операции, представени условия за започване на съответната работа, обхват на работите, контрол на материалите, вземания на проби и изследвания, времеви и температурни ограничения, права и отговорности на участниците, безопастност на труда, но установени</w:t>
            </w:r>
            <w:r w:rsidR="00073D45">
              <w:rPr>
                <w:sz w:val="22"/>
                <w:szCs w:val="22"/>
                <w:lang w:eastAsia="bg-BG"/>
              </w:rPr>
              <w:t xml:space="preserve"> над</w:t>
            </w:r>
            <w:r w:rsidRPr="00535BB6">
              <w:rPr>
                <w:sz w:val="22"/>
                <w:szCs w:val="22"/>
                <w:lang w:eastAsia="bg-BG"/>
              </w:rPr>
              <w:t xml:space="preserve"> </w:t>
            </w:r>
            <w:r w:rsidR="00073D45" w:rsidRPr="00535BB6">
              <w:rPr>
                <w:sz w:val="22"/>
                <w:szCs w:val="22"/>
                <w:lang w:eastAsia="bg-BG"/>
              </w:rPr>
              <w:t xml:space="preserve">2 </w:t>
            </w:r>
            <w:r w:rsidR="00073D45">
              <w:rPr>
                <w:sz w:val="22"/>
                <w:szCs w:val="22"/>
                <w:lang w:eastAsia="bg-BG"/>
              </w:rPr>
              <w:t>дейности, за които не са описани съответните операции и условия за започване.</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5</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922B81">
        <w:trPr>
          <w:trHeight w:val="557"/>
        </w:trPr>
        <w:tc>
          <w:tcPr>
            <w:tcW w:w="660" w:type="dxa"/>
            <w:tcBorders>
              <w:top w:val="nil"/>
              <w:left w:val="single" w:sz="4" w:space="0" w:color="auto"/>
              <w:bottom w:val="single" w:sz="4" w:space="0" w:color="auto"/>
              <w:right w:val="single" w:sz="4" w:space="0" w:color="auto"/>
            </w:tcBorders>
            <w:shd w:val="clear" w:color="000000" w:fill="FDE9D9"/>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2</w:t>
            </w:r>
          </w:p>
        </w:tc>
        <w:tc>
          <w:tcPr>
            <w:tcW w:w="7980" w:type="dxa"/>
            <w:tcBorders>
              <w:top w:val="nil"/>
              <w:left w:val="nil"/>
              <w:bottom w:val="single" w:sz="4" w:space="0" w:color="auto"/>
              <w:right w:val="single" w:sz="4" w:space="0" w:color="auto"/>
            </w:tcBorders>
            <w:shd w:val="clear" w:color="000000" w:fill="FDE9D9"/>
            <w:vAlign w:val="center"/>
          </w:tcPr>
          <w:p w:rsidR="00DE6C61" w:rsidRDefault="00DE6C61" w:rsidP="00922B81">
            <w:pPr>
              <w:spacing w:after="0" w:line="240" w:lineRule="auto"/>
              <w:rPr>
                <w:b/>
                <w:bCs/>
                <w:lang w:eastAsia="bg-BG"/>
              </w:rPr>
            </w:pPr>
            <w:r w:rsidRPr="00535BB6">
              <w:rPr>
                <w:b/>
                <w:bCs/>
                <w:sz w:val="22"/>
                <w:szCs w:val="22"/>
                <w:lang w:eastAsia="bg-BG"/>
              </w:rPr>
              <w:t>Организация на работа за изпълнение на предмета на поръчката</w:t>
            </w:r>
          </w:p>
          <w:p w:rsidR="00922B81" w:rsidRPr="00535BB6" w:rsidRDefault="00922B81" w:rsidP="00922B81">
            <w:pPr>
              <w:spacing w:after="0" w:line="240" w:lineRule="auto"/>
              <w:rPr>
                <w:b/>
                <w:bCs/>
                <w:lang w:eastAsia="bg-BG"/>
              </w:rPr>
            </w:pPr>
          </w:p>
        </w:tc>
        <w:tc>
          <w:tcPr>
            <w:tcW w:w="1080" w:type="dxa"/>
            <w:tcBorders>
              <w:top w:val="nil"/>
              <w:left w:val="nil"/>
              <w:bottom w:val="single" w:sz="4" w:space="0" w:color="auto"/>
              <w:right w:val="single" w:sz="4" w:space="0" w:color="auto"/>
            </w:tcBorders>
            <w:shd w:val="clear" w:color="000000" w:fill="FDE9D9"/>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40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15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DE6C61" w:rsidRPr="00535BB6" w:rsidRDefault="00DE6C61" w:rsidP="00922B81">
            <w:pPr>
              <w:spacing w:after="0" w:line="240" w:lineRule="auto"/>
              <w:rPr>
                <w:lang w:eastAsia="bg-BG"/>
              </w:rPr>
            </w:pPr>
            <w:r w:rsidRPr="00535BB6">
              <w:rPr>
                <w:sz w:val="22"/>
                <w:szCs w:val="22"/>
                <w:lang w:eastAsia="bg-BG"/>
              </w:rPr>
              <w:t xml:space="preserve">Посочени са мерки и механизми за организация на работата и </w:t>
            </w:r>
            <w:r w:rsidR="00922B81">
              <w:rPr>
                <w:sz w:val="22"/>
                <w:szCs w:val="22"/>
                <w:lang w:eastAsia="bg-BG"/>
              </w:rPr>
              <w:t xml:space="preserve">разпределението на </w:t>
            </w:r>
            <w:r w:rsidRPr="00535BB6">
              <w:rPr>
                <w:sz w:val="22"/>
                <w:szCs w:val="22"/>
                <w:lang w:eastAsia="bg-BG"/>
              </w:rPr>
              <w:t>ресурсите</w:t>
            </w:r>
            <w:r w:rsidR="00922B81">
              <w:rPr>
                <w:sz w:val="22"/>
                <w:szCs w:val="22"/>
                <w:lang w:eastAsia="bg-BG"/>
              </w:rPr>
              <w:t xml:space="preserve">, в т.ч. по организацията на </w:t>
            </w:r>
            <w:r w:rsidR="00922B81" w:rsidRPr="00922B81">
              <w:rPr>
                <w:bCs/>
                <w:sz w:val="22"/>
                <w:szCs w:val="22"/>
                <w:lang w:eastAsia="bg-BG"/>
              </w:rPr>
              <w:t>временно строителство, организация на строителната площадка, организация на доставките на материали и оборудване, изпитания</w:t>
            </w:r>
            <w:r w:rsidR="00922B81">
              <w:rPr>
                <w:bCs/>
                <w:sz w:val="22"/>
                <w:szCs w:val="22"/>
                <w:lang w:eastAsia="bg-BG"/>
              </w:rPr>
              <w:t>та</w:t>
            </w:r>
            <w:r w:rsidR="00922B81" w:rsidRPr="00922B81">
              <w:rPr>
                <w:bCs/>
                <w:sz w:val="22"/>
                <w:szCs w:val="22"/>
                <w:lang w:eastAsia="bg-BG"/>
              </w:rPr>
              <w:t>, комуникация между участниците в процеса, отчет за изпълнение</w:t>
            </w:r>
            <w:r w:rsidRPr="00922B81">
              <w:rPr>
                <w:sz w:val="22"/>
                <w:szCs w:val="22"/>
                <w:lang w:eastAsia="bg-BG"/>
              </w:rPr>
              <w:t>,</w:t>
            </w:r>
            <w:r w:rsidRPr="00535BB6">
              <w:rPr>
                <w:sz w:val="22"/>
                <w:szCs w:val="22"/>
                <w:lang w:eastAsia="bg-BG"/>
              </w:rPr>
              <w:t xml:space="preserve"> описано е управлението на работните процеси, които следва да гарантират постигането на желания краен резултат, като е представена обосновка, която детайлно и аргументирано разглежда как посочените мерки и механизми ще доведат до оптимално реализиране на крайния резултат.</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40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15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lastRenderedPageBreak/>
              <w:t> </w:t>
            </w:r>
          </w:p>
        </w:tc>
        <w:tc>
          <w:tcPr>
            <w:tcW w:w="7980" w:type="dxa"/>
            <w:tcBorders>
              <w:top w:val="nil"/>
              <w:left w:val="nil"/>
              <w:bottom w:val="single" w:sz="4" w:space="0" w:color="auto"/>
              <w:right w:val="single" w:sz="4" w:space="0" w:color="auto"/>
            </w:tcBorders>
            <w:vAlign w:val="center"/>
          </w:tcPr>
          <w:p w:rsidR="00DE6C61" w:rsidRPr="00535BB6" w:rsidRDefault="00922B81" w:rsidP="00922B81">
            <w:pPr>
              <w:spacing w:after="0" w:line="240" w:lineRule="auto"/>
              <w:rPr>
                <w:lang w:eastAsia="bg-BG"/>
              </w:rPr>
            </w:pPr>
            <w:r w:rsidRPr="00535BB6">
              <w:rPr>
                <w:sz w:val="22"/>
                <w:szCs w:val="22"/>
                <w:lang w:eastAsia="bg-BG"/>
              </w:rPr>
              <w:t xml:space="preserve">Посочени са мерки и механизми за организация на работата и </w:t>
            </w:r>
            <w:r>
              <w:rPr>
                <w:sz w:val="22"/>
                <w:szCs w:val="22"/>
                <w:lang w:eastAsia="bg-BG"/>
              </w:rPr>
              <w:t xml:space="preserve">разпределението на </w:t>
            </w:r>
            <w:r w:rsidRPr="00535BB6">
              <w:rPr>
                <w:sz w:val="22"/>
                <w:szCs w:val="22"/>
                <w:lang w:eastAsia="bg-BG"/>
              </w:rPr>
              <w:t>ресурсите</w:t>
            </w:r>
            <w:r>
              <w:rPr>
                <w:sz w:val="22"/>
                <w:szCs w:val="22"/>
                <w:lang w:eastAsia="bg-BG"/>
              </w:rPr>
              <w:t xml:space="preserve">, в т.ч. по организацията на </w:t>
            </w:r>
            <w:r w:rsidRPr="00922B81">
              <w:rPr>
                <w:bCs/>
                <w:sz w:val="22"/>
                <w:szCs w:val="22"/>
                <w:lang w:eastAsia="bg-BG"/>
              </w:rPr>
              <w:t>временно строителство, организация на строителната площадка, организация на доставките на материали и оборудване, изпитания</w:t>
            </w:r>
            <w:r>
              <w:rPr>
                <w:bCs/>
                <w:sz w:val="22"/>
                <w:szCs w:val="22"/>
                <w:lang w:eastAsia="bg-BG"/>
              </w:rPr>
              <w:t>та</w:t>
            </w:r>
            <w:r w:rsidRPr="00922B81">
              <w:rPr>
                <w:bCs/>
                <w:sz w:val="22"/>
                <w:szCs w:val="22"/>
                <w:lang w:eastAsia="bg-BG"/>
              </w:rPr>
              <w:t>, комуникация между участниците в процеса, отчет за изпълнение</w:t>
            </w:r>
            <w:r w:rsidRPr="00922B81">
              <w:rPr>
                <w:sz w:val="22"/>
                <w:szCs w:val="22"/>
                <w:lang w:eastAsia="bg-BG"/>
              </w:rPr>
              <w:t>,</w:t>
            </w:r>
            <w:r w:rsidRPr="00535BB6">
              <w:rPr>
                <w:sz w:val="22"/>
                <w:szCs w:val="22"/>
                <w:lang w:eastAsia="bg-BG"/>
              </w:rPr>
              <w:t xml:space="preserve"> </w:t>
            </w:r>
            <w:r w:rsidR="00DE6C61" w:rsidRPr="00535BB6">
              <w:rPr>
                <w:sz w:val="22"/>
                <w:szCs w:val="22"/>
                <w:lang w:eastAsia="bg-BG"/>
              </w:rPr>
              <w:t xml:space="preserve"> описано е управлението на работните процеси, които следва да гарантират постигането на желания краен резултат, като не е представена обосновка как посочените мерки и механизми ще спомогнат за това или представената обосновка не е изцяло аргументирана.</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25</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6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nil"/>
              <w:right w:val="nil"/>
            </w:tcBorders>
            <w:vAlign w:val="center"/>
          </w:tcPr>
          <w:p w:rsidR="00DE6C61" w:rsidRPr="00535BB6" w:rsidRDefault="00DE6C61" w:rsidP="00535BB6">
            <w:pPr>
              <w:spacing w:after="0" w:line="240" w:lineRule="auto"/>
              <w:rPr>
                <w:lang w:eastAsia="bg-BG"/>
              </w:rPr>
            </w:pPr>
            <w:r w:rsidRPr="00535BB6">
              <w:rPr>
                <w:sz w:val="22"/>
                <w:szCs w:val="22"/>
                <w:lang w:eastAsia="bg-BG"/>
              </w:rPr>
              <w:t>Офертата на участника съдържа само общ ангажимент, че е създадена организация за изпълнение на поръчката качествено и в срок.</w:t>
            </w:r>
          </w:p>
        </w:tc>
        <w:tc>
          <w:tcPr>
            <w:tcW w:w="108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5</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570"/>
        </w:trPr>
        <w:tc>
          <w:tcPr>
            <w:tcW w:w="660" w:type="dxa"/>
            <w:tcBorders>
              <w:top w:val="nil"/>
              <w:left w:val="single" w:sz="4" w:space="0" w:color="auto"/>
              <w:bottom w:val="single" w:sz="4" w:space="0" w:color="auto"/>
              <w:right w:val="single" w:sz="4" w:space="0" w:color="auto"/>
            </w:tcBorders>
            <w:shd w:val="clear" w:color="000000" w:fill="FDE9D9"/>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3</w:t>
            </w:r>
          </w:p>
        </w:tc>
        <w:tc>
          <w:tcPr>
            <w:tcW w:w="7980" w:type="dxa"/>
            <w:tcBorders>
              <w:top w:val="single" w:sz="4" w:space="0" w:color="auto"/>
              <w:left w:val="nil"/>
              <w:bottom w:val="single" w:sz="4" w:space="0" w:color="auto"/>
              <w:right w:val="single" w:sz="4" w:space="0" w:color="auto"/>
            </w:tcBorders>
            <w:shd w:val="clear" w:color="000000" w:fill="FDE9D9"/>
            <w:vAlign w:val="center"/>
          </w:tcPr>
          <w:p w:rsidR="00DE6C61" w:rsidRPr="00535BB6" w:rsidRDefault="000A0C85" w:rsidP="000A0C85">
            <w:pPr>
              <w:spacing w:after="0" w:line="240" w:lineRule="auto"/>
              <w:rPr>
                <w:b/>
                <w:bCs/>
                <w:lang w:eastAsia="bg-BG"/>
              </w:rPr>
            </w:pPr>
            <w:r>
              <w:rPr>
                <w:b/>
                <w:bCs/>
                <w:sz w:val="22"/>
                <w:szCs w:val="22"/>
                <w:lang w:eastAsia="bg-BG"/>
              </w:rPr>
              <w:t>Съответствие на строителната програма (технология и организация)</w:t>
            </w:r>
            <w:r w:rsidR="00DE6C61" w:rsidRPr="00535BB6">
              <w:rPr>
                <w:b/>
                <w:bCs/>
                <w:sz w:val="22"/>
                <w:szCs w:val="22"/>
                <w:lang w:eastAsia="bg-BG"/>
              </w:rPr>
              <w:t xml:space="preserve"> за изпълнението на проекта </w:t>
            </w:r>
            <w:r>
              <w:rPr>
                <w:b/>
                <w:bCs/>
                <w:sz w:val="22"/>
                <w:szCs w:val="22"/>
                <w:lang w:eastAsia="bg-BG"/>
              </w:rPr>
              <w:t>и линейния</w:t>
            </w:r>
            <w:r w:rsidR="00DE6C61" w:rsidRPr="00535BB6">
              <w:rPr>
                <w:b/>
                <w:bCs/>
                <w:sz w:val="22"/>
                <w:szCs w:val="22"/>
                <w:lang w:eastAsia="bg-BG"/>
              </w:rPr>
              <w:t xml:space="preserve"> график</w:t>
            </w:r>
          </w:p>
        </w:tc>
        <w:tc>
          <w:tcPr>
            <w:tcW w:w="1080" w:type="dxa"/>
            <w:tcBorders>
              <w:top w:val="nil"/>
              <w:left w:val="nil"/>
              <w:bottom w:val="single" w:sz="4" w:space="0" w:color="auto"/>
              <w:right w:val="single" w:sz="4" w:space="0" w:color="auto"/>
            </w:tcBorders>
            <w:shd w:val="clear" w:color="000000" w:fill="FDE9D9"/>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20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B859C7">
        <w:trPr>
          <w:trHeight w:val="882"/>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nil"/>
              <w:right w:val="nil"/>
            </w:tcBorders>
            <w:vAlign w:val="center"/>
          </w:tcPr>
          <w:p w:rsidR="00DE6C61" w:rsidRPr="00535BB6" w:rsidRDefault="00B859C7" w:rsidP="00B859C7">
            <w:pPr>
              <w:spacing w:after="0" w:line="240" w:lineRule="auto"/>
              <w:rPr>
                <w:lang w:eastAsia="bg-BG"/>
              </w:rPr>
            </w:pPr>
            <w:r>
              <w:rPr>
                <w:sz w:val="22"/>
                <w:szCs w:val="22"/>
                <w:lang w:eastAsia="bg-BG"/>
              </w:rPr>
              <w:t>Линейният график с</w:t>
            </w:r>
            <w:r w:rsidR="00DE6C61" w:rsidRPr="00535BB6">
              <w:rPr>
                <w:sz w:val="22"/>
                <w:szCs w:val="22"/>
                <w:lang w:eastAsia="bg-BG"/>
              </w:rPr>
              <w:t xml:space="preserve"> разпределение във времето на човешките ресурси, съобразен с условията на обектите </w:t>
            </w:r>
            <w:r>
              <w:rPr>
                <w:sz w:val="22"/>
                <w:szCs w:val="22"/>
                <w:lang w:eastAsia="bg-BG"/>
              </w:rPr>
              <w:t>е в п</w:t>
            </w:r>
            <w:r w:rsidR="00DE6C61" w:rsidRPr="00535BB6">
              <w:rPr>
                <w:sz w:val="22"/>
                <w:szCs w:val="22"/>
                <w:lang w:eastAsia="bg-BG"/>
              </w:rPr>
              <w:t xml:space="preserve">ълно съответствие </w:t>
            </w:r>
            <w:r>
              <w:rPr>
                <w:sz w:val="22"/>
                <w:szCs w:val="22"/>
                <w:lang w:eastAsia="bg-BG"/>
              </w:rPr>
              <w:t>със</w:t>
            </w:r>
            <w:r w:rsidR="00DE6C61" w:rsidRPr="00535BB6">
              <w:rPr>
                <w:sz w:val="22"/>
                <w:szCs w:val="22"/>
                <w:lang w:eastAsia="bg-BG"/>
              </w:rPr>
              <w:t xml:space="preserve"> строителната програма</w:t>
            </w:r>
            <w:r>
              <w:rPr>
                <w:sz w:val="22"/>
                <w:szCs w:val="22"/>
                <w:lang w:eastAsia="bg-BG"/>
              </w:rPr>
              <w:t>.</w:t>
            </w:r>
          </w:p>
        </w:tc>
        <w:tc>
          <w:tcPr>
            <w:tcW w:w="108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20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B859C7">
        <w:trPr>
          <w:trHeight w:val="1135"/>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single" w:sz="4" w:space="0" w:color="auto"/>
              <w:left w:val="nil"/>
              <w:bottom w:val="single" w:sz="4" w:space="0" w:color="auto"/>
              <w:right w:val="single" w:sz="4" w:space="0" w:color="auto"/>
            </w:tcBorders>
            <w:vAlign w:val="center"/>
          </w:tcPr>
          <w:p w:rsidR="00DE6C61" w:rsidRPr="00535BB6" w:rsidRDefault="00B859C7" w:rsidP="00B859C7">
            <w:pPr>
              <w:spacing w:after="0" w:line="240" w:lineRule="auto"/>
              <w:rPr>
                <w:lang w:eastAsia="bg-BG"/>
              </w:rPr>
            </w:pPr>
            <w:r>
              <w:rPr>
                <w:sz w:val="22"/>
                <w:szCs w:val="22"/>
                <w:lang w:eastAsia="bg-BG"/>
              </w:rPr>
              <w:t>Линейният график с</w:t>
            </w:r>
            <w:r w:rsidRPr="00535BB6">
              <w:rPr>
                <w:sz w:val="22"/>
                <w:szCs w:val="22"/>
                <w:lang w:eastAsia="bg-BG"/>
              </w:rPr>
              <w:t xml:space="preserve"> разпределение във времето на човешките ресурси, съобразен с условията на обектите</w:t>
            </w:r>
            <w:r>
              <w:rPr>
                <w:sz w:val="22"/>
                <w:szCs w:val="22"/>
                <w:lang w:eastAsia="bg-BG"/>
              </w:rPr>
              <w:t>, но е у</w:t>
            </w:r>
            <w:r w:rsidRPr="00535BB6">
              <w:rPr>
                <w:sz w:val="22"/>
                <w:szCs w:val="22"/>
                <w:lang w:eastAsia="bg-BG"/>
              </w:rPr>
              <w:t>становен</w:t>
            </w:r>
            <w:r>
              <w:rPr>
                <w:sz w:val="22"/>
                <w:szCs w:val="22"/>
                <w:lang w:eastAsia="bg-BG"/>
              </w:rPr>
              <w:t>о</w:t>
            </w:r>
            <w:r w:rsidRPr="00535BB6">
              <w:rPr>
                <w:sz w:val="22"/>
                <w:szCs w:val="22"/>
                <w:lang w:eastAsia="bg-BG"/>
              </w:rPr>
              <w:t xml:space="preserve"> едно несъответствие </w:t>
            </w:r>
            <w:r>
              <w:rPr>
                <w:sz w:val="22"/>
                <w:szCs w:val="22"/>
                <w:lang w:eastAsia="bg-BG"/>
              </w:rPr>
              <w:t>със</w:t>
            </w:r>
            <w:r w:rsidRPr="00535BB6">
              <w:rPr>
                <w:sz w:val="22"/>
                <w:szCs w:val="22"/>
                <w:lang w:eastAsia="bg-BG"/>
              </w:rPr>
              <w:t xml:space="preserve"> строителната програма</w:t>
            </w:r>
            <w:r>
              <w:rPr>
                <w:sz w:val="22"/>
                <w:szCs w:val="22"/>
                <w:lang w:eastAsia="bg-BG"/>
              </w:rPr>
              <w:t>.</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10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12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DE6C61" w:rsidRPr="00535BB6" w:rsidRDefault="00B859C7" w:rsidP="00B859C7">
            <w:pPr>
              <w:spacing w:after="0" w:line="240" w:lineRule="auto"/>
              <w:rPr>
                <w:lang w:eastAsia="bg-BG"/>
              </w:rPr>
            </w:pPr>
            <w:r>
              <w:rPr>
                <w:sz w:val="22"/>
                <w:szCs w:val="22"/>
                <w:lang w:eastAsia="bg-BG"/>
              </w:rPr>
              <w:t>Линейният график с</w:t>
            </w:r>
            <w:r w:rsidRPr="00535BB6">
              <w:rPr>
                <w:sz w:val="22"/>
                <w:szCs w:val="22"/>
                <w:lang w:eastAsia="bg-BG"/>
              </w:rPr>
              <w:t xml:space="preserve"> разпределение във времето на човешките ресурси, съобразен с условията на обектите</w:t>
            </w:r>
            <w:r>
              <w:rPr>
                <w:sz w:val="22"/>
                <w:szCs w:val="22"/>
                <w:lang w:eastAsia="bg-BG"/>
              </w:rPr>
              <w:t>, с у</w:t>
            </w:r>
            <w:r w:rsidRPr="00535BB6">
              <w:rPr>
                <w:sz w:val="22"/>
                <w:szCs w:val="22"/>
                <w:lang w:eastAsia="bg-BG"/>
              </w:rPr>
              <w:t>становен</w:t>
            </w:r>
            <w:r>
              <w:rPr>
                <w:sz w:val="22"/>
                <w:szCs w:val="22"/>
                <w:lang w:eastAsia="bg-BG"/>
              </w:rPr>
              <w:t>о</w:t>
            </w:r>
            <w:r w:rsidRPr="00535BB6">
              <w:rPr>
                <w:sz w:val="22"/>
                <w:szCs w:val="22"/>
                <w:lang w:eastAsia="bg-BG"/>
              </w:rPr>
              <w:t xml:space="preserve"> </w:t>
            </w:r>
            <w:r>
              <w:rPr>
                <w:sz w:val="22"/>
                <w:szCs w:val="22"/>
                <w:lang w:eastAsia="bg-BG"/>
              </w:rPr>
              <w:t xml:space="preserve">повече от </w:t>
            </w:r>
            <w:r w:rsidRPr="00535BB6">
              <w:rPr>
                <w:sz w:val="22"/>
                <w:szCs w:val="22"/>
                <w:lang w:eastAsia="bg-BG"/>
              </w:rPr>
              <w:t xml:space="preserve">едно несъответствие </w:t>
            </w:r>
            <w:r>
              <w:rPr>
                <w:sz w:val="22"/>
                <w:szCs w:val="22"/>
                <w:lang w:eastAsia="bg-BG"/>
              </w:rPr>
              <w:t>със</w:t>
            </w:r>
            <w:r w:rsidRPr="00535BB6">
              <w:rPr>
                <w:sz w:val="22"/>
                <w:szCs w:val="22"/>
                <w:lang w:eastAsia="bg-BG"/>
              </w:rPr>
              <w:t xml:space="preserve"> строителната програма</w:t>
            </w:r>
            <w:r>
              <w:rPr>
                <w:sz w:val="22"/>
                <w:szCs w:val="22"/>
                <w:lang w:eastAsia="bg-BG"/>
              </w:rPr>
              <w:t>.</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5</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540"/>
        </w:trPr>
        <w:tc>
          <w:tcPr>
            <w:tcW w:w="8640" w:type="dxa"/>
            <w:gridSpan w:val="2"/>
            <w:tcBorders>
              <w:top w:val="single" w:sz="4" w:space="0" w:color="auto"/>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right"/>
              <w:rPr>
                <w:b/>
                <w:bCs/>
                <w:lang w:eastAsia="bg-BG"/>
              </w:rPr>
            </w:pPr>
            <w:r w:rsidRPr="00535BB6">
              <w:rPr>
                <w:b/>
                <w:bCs/>
                <w:sz w:val="22"/>
                <w:szCs w:val="22"/>
                <w:lang w:eastAsia="bg-BG"/>
              </w:rPr>
              <w:t>ОБЩО:</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100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510"/>
        </w:trPr>
        <w:tc>
          <w:tcPr>
            <w:tcW w:w="10504" w:type="dxa"/>
            <w:gridSpan w:val="4"/>
            <w:tcBorders>
              <w:top w:val="single" w:sz="4" w:space="0" w:color="auto"/>
              <w:left w:val="single" w:sz="4" w:space="0" w:color="auto"/>
              <w:bottom w:val="single" w:sz="4" w:space="0" w:color="auto"/>
              <w:right w:val="single" w:sz="4" w:space="0" w:color="auto"/>
            </w:tcBorders>
            <w:shd w:val="clear" w:color="000000" w:fill="EAF1DD"/>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ОценкаБ = /бт1+бт2+бт3/х30%, брой точки</w:t>
            </w:r>
          </w:p>
        </w:tc>
      </w:tr>
      <w:tr w:rsidR="00DE6C61" w:rsidRPr="00AC1C8A" w:rsidTr="00535BB6">
        <w:trPr>
          <w:trHeight w:val="72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980" w:type="dxa"/>
            <w:tcBorders>
              <w:top w:val="nil"/>
              <w:left w:val="nil"/>
              <w:bottom w:val="nil"/>
              <w:right w:val="nil"/>
            </w:tcBorders>
            <w:noWrap/>
            <w:vAlign w:val="center"/>
          </w:tcPr>
          <w:p w:rsidR="00DE6C61" w:rsidRDefault="00DE6C61" w:rsidP="00535BB6">
            <w:pPr>
              <w:spacing w:after="0" w:line="240" w:lineRule="auto"/>
              <w:rPr>
                <w:lang w:eastAsia="bg-BG"/>
              </w:rPr>
            </w:pPr>
          </w:p>
          <w:p w:rsidR="0080271D" w:rsidRDefault="0080271D" w:rsidP="00535BB6">
            <w:pPr>
              <w:spacing w:after="0" w:line="240" w:lineRule="auto"/>
              <w:rPr>
                <w:lang w:eastAsia="bg-BG"/>
              </w:rPr>
            </w:pPr>
          </w:p>
          <w:p w:rsidR="0080271D" w:rsidRPr="00535BB6" w:rsidRDefault="0080271D" w:rsidP="00535BB6">
            <w:pPr>
              <w:spacing w:after="0" w:line="240" w:lineRule="auto"/>
              <w:rPr>
                <w:lang w:eastAsia="bg-BG"/>
              </w:rPr>
            </w:pP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r w:rsidR="00DE6C61" w:rsidRPr="00AC1C8A" w:rsidTr="00535BB6">
        <w:trPr>
          <w:trHeight w:val="675"/>
        </w:trPr>
        <w:tc>
          <w:tcPr>
            <w:tcW w:w="10504" w:type="dxa"/>
            <w:gridSpan w:val="4"/>
            <w:tcBorders>
              <w:top w:val="single" w:sz="4" w:space="0" w:color="auto"/>
              <w:left w:val="single" w:sz="4" w:space="0" w:color="auto"/>
              <w:bottom w:val="single" w:sz="4" w:space="0" w:color="auto"/>
              <w:right w:val="single" w:sz="4" w:space="0" w:color="auto"/>
            </w:tcBorders>
            <w:shd w:val="clear" w:color="000000" w:fill="FCD5B4"/>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МЕТОДИКА ЗА ОЦЕНКА НА ПРИЛОЖЕНИЕ В</w:t>
            </w:r>
            <w:r w:rsidRPr="00535BB6">
              <w:rPr>
                <w:b/>
                <w:bCs/>
                <w:sz w:val="22"/>
                <w:szCs w:val="22"/>
                <w:lang w:eastAsia="bg-BG"/>
              </w:rPr>
              <w:br/>
            </w:r>
            <w:r w:rsidRPr="00535BB6">
              <w:rPr>
                <w:b/>
                <w:bCs/>
                <w:sz w:val="22"/>
                <w:szCs w:val="22"/>
                <w:u w:val="single"/>
                <w:lang w:eastAsia="bg-BG"/>
              </w:rPr>
              <w:t>УПРАВЛЕНИЕ НА РИСКА - 20 % тежест</w:t>
            </w:r>
          </w:p>
        </w:tc>
      </w:tr>
      <w:tr w:rsidR="00DE6C61" w:rsidRPr="00AC1C8A" w:rsidTr="00535BB6">
        <w:trPr>
          <w:trHeight w:val="600"/>
        </w:trPr>
        <w:tc>
          <w:tcPr>
            <w:tcW w:w="660" w:type="dxa"/>
            <w:vMerge w:val="restart"/>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 по ред</w:t>
            </w:r>
          </w:p>
        </w:tc>
        <w:tc>
          <w:tcPr>
            <w:tcW w:w="7980" w:type="dxa"/>
            <w:vMerge w:val="restart"/>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Наименование на показателя за оценка</w:t>
            </w:r>
          </w:p>
        </w:tc>
        <w:tc>
          <w:tcPr>
            <w:tcW w:w="10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точки /бтi/</w:t>
            </w:r>
          </w:p>
        </w:tc>
        <w:tc>
          <w:tcPr>
            <w:tcW w:w="784"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относителна тежест</w:t>
            </w:r>
          </w:p>
        </w:tc>
      </w:tr>
      <w:tr w:rsidR="00DE6C61" w:rsidRPr="00AC1C8A" w:rsidTr="00535BB6">
        <w:trPr>
          <w:trHeight w:val="300"/>
        </w:trPr>
        <w:tc>
          <w:tcPr>
            <w:tcW w:w="660"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lang w:eastAsia="bg-BG"/>
              </w:rPr>
            </w:pPr>
          </w:p>
        </w:tc>
        <w:tc>
          <w:tcPr>
            <w:tcW w:w="7980"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lang w:eastAsia="bg-BG"/>
              </w:rPr>
            </w:pPr>
          </w:p>
        </w:tc>
        <w:tc>
          <w:tcPr>
            <w:tcW w:w="10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брой</w:t>
            </w:r>
          </w:p>
        </w:tc>
        <w:tc>
          <w:tcPr>
            <w:tcW w:w="784"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lang w:eastAsia="bg-BG"/>
              </w:rPr>
            </w:pPr>
            <w:r w:rsidRPr="00535BB6">
              <w:rPr>
                <w:sz w:val="22"/>
                <w:szCs w:val="22"/>
                <w:lang w:eastAsia="bg-BG"/>
              </w:rPr>
              <w:t>%</w:t>
            </w:r>
          </w:p>
        </w:tc>
      </w:tr>
      <w:tr w:rsidR="00DE6C61" w:rsidRPr="00AC1C8A" w:rsidTr="00535BB6">
        <w:trPr>
          <w:trHeight w:val="300"/>
        </w:trPr>
        <w:tc>
          <w:tcPr>
            <w:tcW w:w="660" w:type="dxa"/>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1</w:t>
            </w:r>
          </w:p>
        </w:tc>
        <w:tc>
          <w:tcPr>
            <w:tcW w:w="79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2</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3</w:t>
            </w:r>
          </w:p>
        </w:tc>
        <w:tc>
          <w:tcPr>
            <w:tcW w:w="784"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i/>
                <w:iCs/>
                <w:lang w:eastAsia="bg-BG"/>
              </w:rPr>
            </w:pPr>
            <w:r w:rsidRPr="00535BB6">
              <w:rPr>
                <w:i/>
                <w:iCs/>
                <w:sz w:val="22"/>
                <w:szCs w:val="22"/>
                <w:lang w:eastAsia="bg-BG"/>
              </w:rPr>
              <w:t>4</w:t>
            </w:r>
          </w:p>
        </w:tc>
      </w:tr>
      <w:tr w:rsidR="00DE6C61" w:rsidRPr="00AC1C8A" w:rsidTr="00535BB6">
        <w:trPr>
          <w:trHeight w:val="5385"/>
        </w:trPr>
        <w:tc>
          <w:tcPr>
            <w:tcW w:w="660" w:type="dxa"/>
            <w:tcBorders>
              <w:top w:val="nil"/>
              <w:left w:val="single" w:sz="4" w:space="0" w:color="auto"/>
              <w:bottom w:val="single" w:sz="4" w:space="0" w:color="auto"/>
              <w:right w:val="single" w:sz="4" w:space="0" w:color="auto"/>
            </w:tcBorders>
            <w:shd w:val="clear" w:color="000000" w:fill="FDE9D9"/>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lastRenderedPageBreak/>
              <w:t>1</w:t>
            </w:r>
          </w:p>
        </w:tc>
        <w:tc>
          <w:tcPr>
            <w:tcW w:w="7980" w:type="dxa"/>
            <w:tcBorders>
              <w:top w:val="nil"/>
              <w:left w:val="nil"/>
              <w:bottom w:val="single" w:sz="4" w:space="0" w:color="auto"/>
              <w:right w:val="single" w:sz="4" w:space="0" w:color="auto"/>
            </w:tcBorders>
            <w:shd w:val="clear" w:color="000000" w:fill="FDE9D9"/>
            <w:vAlign w:val="center"/>
          </w:tcPr>
          <w:p w:rsidR="00DE6C61" w:rsidRPr="00535BB6" w:rsidRDefault="00DE6C61" w:rsidP="00535BB6">
            <w:pPr>
              <w:spacing w:after="0" w:line="240" w:lineRule="auto"/>
              <w:rPr>
                <w:b/>
                <w:bCs/>
                <w:lang w:eastAsia="bg-BG"/>
              </w:rPr>
            </w:pPr>
            <w:r w:rsidRPr="00535BB6">
              <w:rPr>
                <w:b/>
                <w:bCs/>
                <w:sz w:val="22"/>
                <w:szCs w:val="22"/>
                <w:lang w:eastAsia="bg-BG"/>
              </w:rPr>
              <w:t>Управление на рисковете</w:t>
            </w:r>
            <w:r w:rsidRPr="00535BB6">
              <w:rPr>
                <w:b/>
                <w:bCs/>
                <w:sz w:val="22"/>
                <w:szCs w:val="22"/>
                <w:lang w:eastAsia="bg-BG"/>
              </w:rPr>
              <w:br/>
            </w:r>
            <w:r w:rsidRPr="00535BB6">
              <w:rPr>
                <w:sz w:val="22"/>
                <w:szCs w:val="22"/>
                <w:lang w:eastAsia="bg-BG"/>
              </w:rPr>
              <w:t>Разглеждат се предложенията на участниците за управление на следните дефинирани от възложителя рискове, които могат да възникнат при изпълнението на договора:</w:t>
            </w:r>
            <w:r w:rsidRPr="00535BB6">
              <w:rPr>
                <w:sz w:val="22"/>
                <w:szCs w:val="22"/>
                <w:lang w:eastAsia="bg-BG"/>
              </w:rPr>
              <w:br/>
              <w:t>1. Времеви рискове:</w:t>
            </w:r>
            <w:r w:rsidRPr="00535BB6">
              <w:rPr>
                <w:sz w:val="22"/>
                <w:szCs w:val="22"/>
                <w:lang w:eastAsia="bg-BG"/>
              </w:rPr>
              <w:br/>
              <w:t xml:space="preserve">  - Закъснение началото на започване на работите;</w:t>
            </w:r>
            <w:r w:rsidRPr="00535BB6">
              <w:rPr>
                <w:sz w:val="22"/>
                <w:szCs w:val="22"/>
                <w:lang w:eastAsia="bg-BG"/>
              </w:rPr>
              <w:br/>
              <w:t xml:space="preserve">  - Изоставане от графика при текущото изпълнение на дейностите;</w:t>
            </w:r>
            <w:r w:rsidRPr="00535BB6">
              <w:rPr>
                <w:sz w:val="22"/>
                <w:szCs w:val="22"/>
                <w:lang w:eastAsia="bg-BG"/>
              </w:rPr>
              <w:br/>
              <w:t xml:space="preserve">  - Риск от закъснение за окончателно приключване и предаване на обекта;</w:t>
            </w:r>
            <w:r w:rsidRPr="00535BB6">
              <w:rPr>
                <w:sz w:val="22"/>
                <w:szCs w:val="22"/>
                <w:lang w:eastAsia="bg-BG"/>
              </w:rPr>
              <w:br/>
              <w:t>2. Липса/недостатъчно съдействие и/или информация от страна на други участници в строителния процес;</w:t>
            </w:r>
            <w:r w:rsidRPr="00535BB6">
              <w:rPr>
                <w:sz w:val="22"/>
                <w:szCs w:val="22"/>
                <w:lang w:eastAsia="bg-BG"/>
              </w:rPr>
              <w:br/>
              <w:t>3. Липса/недостатъчна координация и сътрудничество между заинтересованите страни в рамките на проекта;</w:t>
            </w:r>
            <w:r w:rsidRPr="00535BB6">
              <w:rPr>
                <w:sz w:val="22"/>
                <w:szCs w:val="22"/>
                <w:lang w:eastAsia="bg-BG"/>
              </w:rPr>
              <w:br/>
              <w:t xml:space="preserve">4. Промени в законодателството на България или на ЕС; </w:t>
            </w:r>
            <w:r w:rsidRPr="00535BB6">
              <w:rPr>
                <w:sz w:val="22"/>
                <w:szCs w:val="22"/>
                <w:lang w:eastAsia="bg-BG"/>
              </w:rPr>
              <w:br/>
              <w:t>5. Неизпълнение на договорни задължения, в това число забава на плащанията по договора от Страна на Възложителя;</w:t>
            </w:r>
            <w:r w:rsidRPr="00535BB6">
              <w:rPr>
                <w:sz w:val="22"/>
                <w:szCs w:val="22"/>
                <w:lang w:eastAsia="bg-BG"/>
              </w:rPr>
              <w:br/>
              <w:t>6. Трудности при изпълнението на проекта, продиктувани от протести, жалби и/или други форми на негативна реакция от страна на местното население.</w:t>
            </w:r>
          </w:p>
        </w:tc>
        <w:tc>
          <w:tcPr>
            <w:tcW w:w="1080" w:type="dxa"/>
            <w:tcBorders>
              <w:top w:val="nil"/>
              <w:left w:val="nil"/>
              <w:bottom w:val="single" w:sz="4" w:space="0" w:color="auto"/>
              <w:right w:val="single" w:sz="4" w:space="0" w:color="auto"/>
            </w:tcBorders>
            <w:shd w:val="clear" w:color="000000" w:fill="FDE9D9"/>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100</w:t>
            </w:r>
          </w:p>
        </w:tc>
        <w:tc>
          <w:tcPr>
            <w:tcW w:w="784" w:type="dxa"/>
            <w:vMerge w:val="restart"/>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20</w:t>
            </w:r>
          </w:p>
        </w:tc>
      </w:tr>
      <w:tr w:rsidR="00DE6C61" w:rsidRPr="00AC1C8A" w:rsidTr="00922B81">
        <w:trPr>
          <w:trHeight w:val="4386"/>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DE6C61" w:rsidRPr="00535BB6" w:rsidRDefault="00DE6C61" w:rsidP="0080271D">
            <w:pPr>
              <w:spacing w:after="0" w:line="240" w:lineRule="auto"/>
              <w:rPr>
                <w:lang w:eastAsia="bg-BG"/>
              </w:rPr>
            </w:pPr>
            <w:r w:rsidRPr="00535BB6">
              <w:rPr>
                <w:sz w:val="22"/>
                <w:szCs w:val="22"/>
                <w:lang w:eastAsia="bg-BG"/>
              </w:rPr>
              <w:t>В техническото предложение е обърнато внимание на всеки един от рисковете, и е в сила всяко едно от следните обстоятелства:</w:t>
            </w:r>
            <w:r w:rsidRPr="00535BB6">
              <w:rPr>
                <w:sz w:val="22"/>
                <w:szCs w:val="22"/>
                <w:lang w:eastAsia="bg-BG"/>
              </w:rPr>
              <w:br/>
              <w:t xml:space="preserve">  - Предлагат се ефикасни дейности, като всеки един риск е съпроводен с предложени от Участника конкретни мерки за недопускане/предотвратяване настъпването на риска и съответно конкретни дейности по отстраняване и управление на последиците от настъпилия риск.</w:t>
            </w:r>
            <w:r w:rsidRPr="00535BB6">
              <w:rPr>
                <w:sz w:val="22"/>
                <w:szCs w:val="22"/>
                <w:lang w:eastAsia="bg-BG"/>
              </w:rPr>
              <w:br/>
              <w:t xml:space="preserve">  - Участникът е отчел всички възможни аспекти на проявление и области и сфери на влияние на описаните рискове и е оценил и предвидил степента на въздействието им върху изпълнението на всяка от дейностите по договора, като е предложил ефикасни мерки;</w:t>
            </w:r>
            <w:r w:rsidRPr="00535BB6">
              <w:rPr>
                <w:sz w:val="22"/>
                <w:szCs w:val="22"/>
                <w:lang w:eastAsia="bg-BG"/>
              </w:rPr>
              <w:br/>
              <w:t xml:space="preserve">  - Участникът е предложил мерки за предотвратяване и/или управление на дефинираните аспекти от риска, включително и алтернативни. Планирани са </w:t>
            </w:r>
            <w:r w:rsidRPr="0080271D">
              <w:rPr>
                <w:sz w:val="22"/>
                <w:szCs w:val="22"/>
                <w:lang w:eastAsia="bg-BG"/>
              </w:rPr>
              <w:t>конкретни</w:t>
            </w:r>
            <w:r w:rsidR="0080271D" w:rsidRPr="0080271D">
              <w:rPr>
                <w:sz w:val="22"/>
                <w:szCs w:val="22"/>
                <w:lang w:eastAsia="bg-BG"/>
              </w:rPr>
              <w:t xml:space="preserve"> </w:t>
            </w:r>
            <w:r w:rsidR="00F833EA" w:rsidRPr="0080271D">
              <w:rPr>
                <w:sz w:val="22"/>
                <w:szCs w:val="22"/>
                <w:lang w:eastAsia="bg-BG"/>
              </w:rPr>
              <w:t xml:space="preserve">мерки </w:t>
            </w:r>
            <w:r w:rsidRPr="0080271D">
              <w:rPr>
                <w:sz w:val="22"/>
                <w:szCs w:val="22"/>
                <w:lang w:eastAsia="bg-BG"/>
              </w:rPr>
              <w:t>посредством които реално</w:t>
            </w:r>
            <w:r w:rsidRPr="00535BB6">
              <w:rPr>
                <w:sz w:val="22"/>
                <w:szCs w:val="22"/>
                <w:lang w:eastAsia="bg-BG"/>
              </w:rPr>
              <w:t xml:space="preserve"> е възможно да се повлияе на възникването, респ. негативното влияние на риска, така че същият да бъде предотвратен, респ. да не окаже негативно влияние върху изпълнението на дейностите, предмет на договора.</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100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27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 </w:t>
            </w:r>
          </w:p>
        </w:tc>
        <w:tc>
          <w:tcPr>
            <w:tcW w:w="7980" w:type="dxa"/>
            <w:tcBorders>
              <w:top w:val="nil"/>
              <w:left w:val="nil"/>
              <w:bottom w:val="single" w:sz="4" w:space="0" w:color="auto"/>
              <w:right w:val="single" w:sz="4" w:space="0" w:color="auto"/>
            </w:tcBorders>
            <w:vAlign w:val="center"/>
          </w:tcPr>
          <w:p w:rsidR="00DE6C61" w:rsidRPr="00535BB6" w:rsidRDefault="00DE6C61" w:rsidP="0080271D">
            <w:pPr>
              <w:spacing w:after="0" w:line="240" w:lineRule="auto"/>
              <w:rPr>
                <w:lang w:eastAsia="bg-BG"/>
              </w:rPr>
            </w:pPr>
            <w:r w:rsidRPr="00535BB6">
              <w:rPr>
                <w:sz w:val="22"/>
                <w:szCs w:val="22"/>
                <w:lang w:eastAsia="bg-BG"/>
              </w:rPr>
              <w:t>В техническата оферта е обърнато внимание на всеки един от рисковете, но е в сила поне едно от следното:</w:t>
            </w:r>
            <w:r w:rsidRPr="00535BB6">
              <w:rPr>
                <w:sz w:val="22"/>
                <w:szCs w:val="22"/>
                <w:lang w:eastAsia="bg-BG"/>
              </w:rPr>
              <w:br/>
              <w:t xml:space="preserve">  - Направено е</w:t>
            </w:r>
            <w:r w:rsidR="0095490F">
              <w:rPr>
                <w:sz w:val="22"/>
                <w:szCs w:val="22"/>
                <w:lang w:eastAsia="bg-BG"/>
              </w:rPr>
              <w:t xml:space="preserve"> </w:t>
            </w:r>
            <w:r w:rsidRPr="00FE37D2">
              <w:rPr>
                <w:sz w:val="22"/>
                <w:szCs w:val="22"/>
                <w:lang w:eastAsia="bg-BG"/>
              </w:rPr>
              <w:t>формално</w:t>
            </w:r>
            <w:r w:rsidRPr="00535BB6">
              <w:rPr>
                <w:sz w:val="22"/>
                <w:szCs w:val="22"/>
                <w:lang w:eastAsia="bg-BG"/>
              </w:rPr>
              <w:t xml:space="preserve"> описание, като са идентифицирани основните проявления, аспекти и сфери, където може да окаже влияние съответния риск, но степента на влияние на риска, респ. мерките за преодоляване/предотвратяване са формално описани.</w:t>
            </w:r>
            <w:r w:rsidRPr="00535BB6">
              <w:rPr>
                <w:sz w:val="22"/>
                <w:szCs w:val="22"/>
                <w:lang w:eastAsia="bg-BG"/>
              </w:rPr>
              <w:br/>
              <w:t xml:space="preserve">  - Предлаганите мерки, организация и предвидени ресурси от участника не гарантират изцяло недопускане и/или ефективно предотвратяване и преодоляване на риска, респ. последиците от настъпването му</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60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2100"/>
        </w:trPr>
        <w:tc>
          <w:tcPr>
            <w:tcW w:w="660" w:type="dxa"/>
            <w:tcBorders>
              <w:top w:val="nil"/>
              <w:left w:val="single" w:sz="4" w:space="0" w:color="auto"/>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lastRenderedPageBreak/>
              <w:t> </w:t>
            </w:r>
          </w:p>
        </w:tc>
        <w:tc>
          <w:tcPr>
            <w:tcW w:w="7980" w:type="dxa"/>
            <w:tcBorders>
              <w:top w:val="nil"/>
              <w:left w:val="nil"/>
              <w:bottom w:val="single" w:sz="4" w:space="0" w:color="auto"/>
              <w:right w:val="single" w:sz="4" w:space="0" w:color="auto"/>
            </w:tcBorders>
            <w:vAlign w:val="center"/>
          </w:tcPr>
          <w:p w:rsidR="00DE6C61" w:rsidRPr="00535BB6" w:rsidRDefault="00DE6C61" w:rsidP="00535BB6">
            <w:pPr>
              <w:spacing w:after="0" w:line="240" w:lineRule="auto"/>
              <w:rPr>
                <w:lang w:eastAsia="bg-BG"/>
              </w:rPr>
            </w:pPr>
            <w:r w:rsidRPr="00535BB6">
              <w:rPr>
                <w:sz w:val="22"/>
                <w:szCs w:val="22"/>
                <w:lang w:eastAsia="bg-BG"/>
              </w:rPr>
              <w:t>В техническата оферта е в сила поне едно от следните обстоятелства:</w:t>
            </w:r>
            <w:r w:rsidRPr="00535BB6">
              <w:rPr>
                <w:sz w:val="22"/>
                <w:szCs w:val="22"/>
                <w:lang w:eastAsia="bg-BG"/>
              </w:rPr>
              <w:br/>
              <w:t xml:space="preserve">  - Липсва описание на мерки за предотвратяване /преодоляване /управление на един или няколко от посочените рискове, като участникът единствено декларира готовност на свой риск да приеме последиците при възникването на описаните рискове, но не предлага адекватни мерки за управлението им;</w:t>
            </w:r>
            <w:r w:rsidRPr="00535BB6">
              <w:rPr>
                <w:sz w:val="22"/>
                <w:szCs w:val="22"/>
                <w:lang w:eastAsia="bg-BG"/>
              </w:rPr>
              <w:br/>
              <w:t xml:space="preserve">  - Предложени са мерки за управление на посочените рискове, но те реално не са от естество, позволяващо предотвратяването и/или преодоляването им.</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lang w:eastAsia="bg-BG"/>
              </w:rPr>
            </w:pPr>
            <w:r w:rsidRPr="00535BB6">
              <w:rPr>
                <w:sz w:val="22"/>
                <w:szCs w:val="22"/>
                <w:lang w:eastAsia="bg-BG"/>
              </w:rPr>
              <w:t>10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540"/>
        </w:trPr>
        <w:tc>
          <w:tcPr>
            <w:tcW w:w="8640" w:type="dxa"/>
            <w:gridSpan w:val="2"/>
            <w:tcBorders>
              <w:top w:val="single" w:sz="4" w:space="0" w:color="auto"/>
              <w:left w:val="single" w:sz="4" w:space="0" w:color="auto"/>
              <w:bottom w:val="single" w:sz="4" w:space="0" w:color="auto"/>
              <w:right w:val="single" w:sz="4" w:space="0" w:color="000000"/>
            </w:tcBorders>
            <w:noWrap/>
            <w:vAlign w:val="center"/>
          </w:tcPr>
          <w:p w:rsidR="00DE6C61" w:rsidRPr="00535BB6" w:rsidRDefault="00DE6C61" w:rsidP="00535BB6">
            <w:pPr>
              <w:spacing w:after="0" w:line="240" w:lineRule="auto"/>
              <w:jc w:val="right"/>
              <w:rPr>
                <w:b/>
                <w:bCs/>
                <w:lang w:eastAsia="bg-BG"/>
              </w:rPr>
            </w:pPr>
            <w:r w:rsidRPr="00535BB6">
              <w:rPr>
                <w:b/>
                <w:bCs/>
                <w:sz w:val="22"/>
                <w:szCs w:val="22"/>
                <w:lang w:eastAsia="bg-BG"/>
              </w:rPr>
              <w:t>ОБЩО:</w:t>
            </w:r>
          </w:p>
        </w:tc>
        <w:tc>
          <w:tcPr>
            <w:tcW w:w="1080" w:type="dxa"/>
            <w:tcBorders>
              <w:top w:val="nil"/>
              <w:left w:val="nil"/>
              <w:bottom w:val="single" w:sz="4" w:space="0" w:color="auto"/>
              <w:right w:val="single" w:sz="4" w:space="0" w:color="auto"/>
            </w:tcBorders>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100</w:t>
            </w:r>
          </w:p>
        </w:tc>
        <w:tc>
          <w:tcPr>
            <w:tcW w:w="784" w:type="dxa"/>
            <w:vMerge/>
            <w:tcBorders>
              <w:top w:val="nil"/>
              <w:left w:val="single" w:sz="4" w:space="0" w:color="auto"/>
              <w:bottom w:val="single" w:sz="4" w:space="0" w:color="auto"/>
              <w:right w:val="single" w:sz="4" w:space="0" w:color="auto"/>
            </w:tcBorders>
            <w:vAlign w:val="center"/>
          </w:tcPr>
          <w:p w:rsidR="00DE6C61" w:rsidRPr="00535BB6" w:rsidRDefault="00DE6C61" w:rsidP="00535BB6">
            <w:pPr>
              <w:spacing w:after="0" w:line="240" w:lineRule="auto"/>
              <w:rPr>
                <w:b/>
                <w:bCs/>
                <w:lang w:eastAsia="bg-BG"/>
              </w:rPr>
            </w:pPr>
          </w:p>
        </w:tc>
      </w:tr>
      <w:tr w:rsidR="00DE6C61" w:rsidRPr="00AC1C8A" w:rsidTr="00535BB6">
        <w:trPr>
          <w:trHeight w:val="510"/>
        </w:trPr>
        <w:tc>
          <w:tcPr>
            <w:tcW w:w="10504" w:type="dxa"/>
            <w:gridSpan w:val="4"/>
            <w:tcBorders>
              <w:top w:val="single" w:sz="4" w:space="0" w:color="auto"/>
              <w:left w:val="single" w:sz="4" w:space="0" w:color="auto"/>
              <w:bottom w:val="single" w:sz="4" w:space="0" w:color="auto"/>
              <w:right w:val="single" w:sz="4" w:space="0" w:color="000000"/>
            </w:tcBorders>
            <w:shd w:val="clear" w:color="000000" w:fill="EAF1DD"/>
            <w:noWrap/>
            <w:vAlign w:val="center"/>
          </w:tcPr>
          <w:p w:rsidR="00DE6C61" w:rsidRPr="00535BB6" w:rsidRDefault="00DE6C61" w:rsidP="00535BB6">
            <w:pPr>
              <w:spacing w:after="0" w:line="240" w:lineRule="auto"/>
              <w:jc w:val="center"/>
              <w:rPr>
                <w:b/>
                <w:bCs/>
                <w:lang w:eastAsia="bg-BG"/>
              </w:rPr>
            </w:pPr>
            <w:r w:rsidRPr="00535BB6">
              <w:rPr>
                <w:b/>
                <w:bCs/>
                <w:sz w:val="22"/>
                <w:szCs w:val="22"/>
                <w:lang w:eastAsia="bg-BG"/>
              </w:rPr>
              <w:t>ОценкаВ = /бт1/х20%, брой точки</w:t>
            </w:r>
          </w:p>
        </w:tc>
      </w:tr>
      <w:tr w:rsidR="00DE6C61" w:rsidRPr="00AC1C8A" w:rsidTr="00535BB6">
        <w:trPr>
          <w:trHeight w:val="300"/>
        </w:trPr>
        <w:tc>
          <w:tcPr>
            <w:tcW w:w="66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9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r w:rsidR="00DE6C61" w:rsidRPr="00AC1C8A" w:rsidTr="00535BB6">
        <w:trPr>
          <w:trHeight w:val="300"/>
        </w:trPr>
        <w:tc>
          <w:tcPr>
            <w:tcW w:w="660" w:type="dxa"/>
            <w:tcBorders>
              <w:top w:val="nil"/>
              <w:left w:val="nil"/>
              <w:bottom w:val="nil"/>
              <w:right w:val="nil"/>
            </w:tcBorders>
            <w:noWrap/>
            <w:vAlign w:val="center"/>
          </w:tcPr>
          <w:p w:rsidR="00DE6C61" w:rsidRPr="00535BB6" w:rsidRDefault="00DE6C61" w:rsidP="00535BB6">
            <w:pPr>
              <w:spacing w:after="0" w:line="240" w:lineRule="auto"/>
              <w:jc w:val="center"/>
              <w:rPr>
                <w:lang w:eastAsia="bg-BG"/>
              </w:rPr>
            </w:pPr>
          </w:p>
        </w:tc>
        <w:tc>
          <w:tcPr>
            <w:tcW w:w="7980" w:type="dxa"/>
            <w:tcBorders>
              <w:top w:val="nil"/>
              <w:left w:val="nil"/>
              <w:bottom w:val="nil"/>
              <w:right w:val="nil"/>
            </w:tcBorders>
            <w:vAlign w:val="center"/>
          </w:tcPr>
          <w:p w:rsidR="00DE6C61" w:rsidRPr="00FE37D2" w:rsidRDefault="0095490F" w:rsidP="0095490F">
            <w:pPr>
              <w:pStyle w:val="ListParagraph"/>
              <w:numPr>
                <w:ilvl w:val="0"/>
                <w:numId w:val="1"/>
              </w:numPr>
              <w:spacing w:after="0" w:line="240" w:lineRule="auto"/>
              <w:jc w:val="both"/>
              <w:rPr>
                <w:lang w:val="ru-RU" w:eastAsia="bg-BG"/>
              </w:rPr>
            </w:pPr>
            <w:r>
              <w:rPr>
                <w:lang w:eastAsia="bg-BG"/>
              </w:rPr>
              <w:t>Ефикасни дейности</w:t>
            </w:r>
            <w:r w:rsidR="00F833EA">
              <w:rPr>
                <w:lang w:eastAsia="bg-BG"/>
              </w:rPr>
              <w:t>/мерки</w:t>
            </w:r>
            <w:r>
              <w:rPr>
                <w:lang w:eastAsia="bg-BG"/>
              </w:rPr>
              <w:t xml:space="preserve"> – дейности</w:t>
            </w:r>
            <w:r w:rsidR="00F833EA">
              <w:rPr>
                <w:lang w:eastAsia="bg-BG"/>
              </w:rPr>
              <w:t>/мерки</w:t>
            </w:r>
            <w:r>
              <w:rPr>
                <w:lang w:eastAsia="bg-BG"/>
              </w:rPr>
              <w:t xml:space="preserve"> с положителен резултат</w:t>
            </w:r>
            <w:r w:rsidR="00FE37D2">
              <w:rPr>
                <w:lang w:eastAsia="bg-BG"/>
              </w:rPr>
              <w:t>;</w:t>
            </w:r>
          </w:p>
          <w:p w:rsidR="00FE37D2" w:rsidRPr="0095490F" w:rsidRDefault="00FE37D2" w:rsidP="0095490F">
            <w:pPr>
              <w:pStyle w:val="ListParagraph"/>
              <w:numPr>
                <w:ilvl w:val="0"/>
                <w:numId w:val="1"/>
              </w:numPr>
              <w:spacing w:after="0" w:line="240" w:lineRule="auto"/>
              <w:jc w:val="both"/>
              <w:rPr>
                <w:lang w:val="ru-RU" w:eastAsia="bg-BG"/>
              </w:rPr>
            </w:pPr>
            <w:r>
              <w:rPr>
                <w:lang w:eastAsia="bg-BG"/>
              </w:rPr>
              <w:t>Формално описание – описание, което не е насочено конкретно към предмета на поръчката;</w:t>
            </w:r>
          </w:p>
          <w:p w:rsidR="0095490F" w:rsidRPr="0095490F" w:rsidRDefault="0095490F" w:rsidP="0095490F">
            <w:pPr>
              <w:spacing w:after="0" w:line="240" w:lineRule="auto"/>
              <w:jc w:val="both"/>
              <w:rPr>
                <w:lang w:val="ru-RU" w:eastAsia="bg-BG"/>
              </w:rPr>
            </w:pPr>
          </w:p>
          <w:p w:rsidR="0095490F" w:rsidRPr="0095490F" w:rsidRDefault="0095490F" w:rsidP="00535BB6">
            <w:pPr>
              <w:spacing w:after="0" w:line="240" w:lineRule="auto"/>
              <w:rPr>
                <w:lang w:val="ru-RU" w:eastAsia="bg-BG"/>
              </w:rPr>
            </w:pPr>
          </w:p>
          <w:p w:rsidR="0095490F" w:rsidRPr="0095490F" w:rsidRDefault="0095490F" w:rsidP="00535BB6">
            <w:pPr>
              <w:spacing w:after="0" w:line="240" w:lineRule="auto"/>
              <w:rPr>
                <w:lang w:val="ru-RU" w:eastAsia="bg-BG"/>
              </w:rPr>
            </w:pP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p>
        </w:tc>
        <w:tc>
          <w:tcPr>
            <w:tcW w:w="798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r w:rsidRPr="00535BB6">
              <w:rPr>
                <w:b/>
                <w:bCs/>
                <w:sz w:val="22"/>
                <w:szCs w:val="22"/>
                <w:lang w:eastAsia="bg-BG"/>
              </w:rPr>
              <w:t>C = (Cmin / Ci) x 100 x 30%</w:t>
            </w: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p>
        </w:tc>
        <w:tc>
          <w:tcPr>
            <w:tcW w:w="798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r w:rsidRPr="00535BB6">
              <w:rPr>
                <w:b/>
                <w:bCs/>
                <w:sz w:val="22"/>
                <w:szCs w:val="22"/>
                <w:lang w:eastAsia="bg-BG"/>
              </w:rPr>
              <w:t xml:space="preserve">Cmin – </w:t>
            </w:r>
            <w:r w:rsidRPr="00535BB6">
              <w:rPr>
                <w:sz w:val="22"/>
                <w:szCs w:val="22"/>
                <w:lang w:eastAsia="bg-BG"/>
              </w:rPr>
              <w:t>представлява най-ниската предложена цена в лева от всички оферти</w:t>
            </w: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r w:rsidR="00DE6C61" w:rsidRPr="00AC1C8A" w:rsidTr="00535BB6">
        <w:trPr>
          <w:trHeight w:val="390"/>
        </w:trPr>
        <w:tc>
          <w:tcPr>
            <w:tcW w:w="66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p>
        </w:tc>
        <w:tc>
          <w:tcPr>
            <w:tcW w:w="7980" w:type="dxa"/>
            <w:tcBorders>
              <w:top w:val="nil"/>
              <w:left w:val="nil"/>
              <w:bottom w:val="nil"/>
              <w:right w:val="nil"/>
            </w:tcBorders>
            <w:noWrap/>
            <w:vAlign w:val="center"/>
          </w:tcPr>
          <w:p w:rsidR="00DE6C61" w:rsidRPr="00535BB6" w:rsidRDefault="00DE6C61" w:rsidP="00535BB6">
            <w:pPr>
              <w:spacing w:after="0" w:line="240" w:lineRule="auto"/>
              <w:rPr>
                <w:b/>
                <w:bCs/>
                <w:lang w:eastAsia="bg-BG"/>
              </w:rPr>
            </w:pPr>
            <w:r w:rsidRPr="00535BB6">
              <w:rPr>
                <w:b/>
                <w:bCs/>
                <w:sz w:val="22"/>
                <w:szCs w:val="22"/>
                <w:lang w:eastAsia="bg-BG"/>
              </w:rPr>
              <w:t xml:space="preserve">Ci – </w:t>
            </w:r>
            <w:r w:rsidRPr="00535BB6">
              <w:rPr>
                <w:sz w:val="22"/>
                <w:szCs w:val="22"/>
                <w:lang w:eastAsia="bg-BG"/>
              </w:rPr>
              <w:t>представлява предложената цена в лева на съответната оферта</w:t>
            </w:r>
          </w:p>
        </w:tc>
        <w:tc>
          <w:tcPr>
            <w:tcW w:w="1080"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c>
          <w:tcPr>
            <w:tcW w:w="784" w:type="dxa"/>
            <w:tcBorders>
              <w:top w:val="nil"/>
              <w:left w:val="nil"/>
              <w:bottom w:val="nil"/>
              <w:right w:val="nil"/>
            </w:tcBorders>
            <w:noWrap/>
            <w:vAlign w:val="center"/>
          </w:tcPr>
          <w:p w:rsidR="00DE6C61" w:rsidRPr="00535BB6" w:rsidRDefault="00DE6C61" w:rsidP="00535BB6">
            <w:pPr>
              <w:spacing w:after="0" w:line="240" w:lineRule="auto"/>
              <w:rPr>
                <w:lang w:eastAsia="bg-BG"/>
              </w:rPr>
            </w:pPr>
          </w:p>
        </w:tc>
      </w:tr>
    </w:tbl>
    <w:p w:rsidR="00DE6C61" w:rsidRDefault="00DE6C61"/>
    <w:sectPr w:rsidR="00DE6C61" w:rsidSect="00922B81">
      <w:pgSz w:w="11906" w:h="16838"/>
      <w:pgMar w:top="1276"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4B35"/>
    <w:multiLevelType w:val="hybridMultilevel"/>
    <w:tmpl w:val="92A0995A"/>
    <w:lvl w:ilvl="0" w:tplc="3F1C8D7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B6"/>
    <w:rsid w:val="000367DB"/>
    <w:rsid w:val="00073D45"/>
    <w:rsid w:val="000A0C85"/>
    <w:rsid w:val="001F1535"/>
    <w:rsid w:val="002141A1"/>
    <w:rsid w:val="00250D3F"/>
    <w:rsid w:val="00283CAA"/>
    <w:rsid w:val="002F2999"/>
    <w:rsid w:val="0033549C"/>
    <w:rsid w:val="00345068"/>
    <w:rsid w:val="00346474"/>
    <w:rsid w:val="00346896"/>
    <w:rsid w:val="003A56DF"/>
    <w:rsid w:val="00535BB6"/>
    <w:rsid w:val="00547C89"/>
    <w:rsid w:val="00556302"/>
    <w:rsid w:val="00562EB2"/>
    <w:rsid w:val="00634629"/>
    <w:rsid w:val="007767B2"/>
    <w:rsid w:val="007846EB"/>
    <w:rsid w:val="0078572B"/>
    <w:rsid w:val="007F234A"/>
    <w:rsid w:val="0080271D"/>
    <w:rsid w:val="00814E34"/>
    <w:rsid w:val="00861720"/>
    <w:rsid w:val="008C53EB"/>
    <w:rsid w:val="008D5D14"/>
    <w:rsid w:val="009126F9"/>
    <w:rsid w:val="00922B81"/>
    <w:rsid w:val="0092689D"/>
    <w:rsid w:val="0095490F"/>
    <w:rsid w:val="00963876"/>
    <w:rsid w:val="009925E4"/>
    <w:rsid w:val="009B1AE1"/>
    <w:rsid w:val="009B3905"/>
    <w:rsid w:val="009C44EC"/>
    <w:rsid w:val="009E0ABE"/>
    <w:rsid w:val="00A8289A"/>
    <w:rsid w:val="00AB6E00"/>
    <w:rsid w:val="00AC1C8A"/>
    <w:rsid w:val="00AE28CE"/>
    <w:rsid w:val="00AE2B2D"/>
    <w:rsid w:val="00B220C3"/>
    <w:rsid w:val="00B859C7"/>
    <w:rsid w:val="00BD073E"/>
    <w:rsid w:val="00C940A3"/>
    <w:rsid w:val="00CE0F06"/>
    <w:rsid w:val="00D134E6"/>
    <w:rsid w:val="00DD054A"/>
    <w:rsid w:val="00DE6C61"/>
    <w:rsid w:val="00E76AAB"/>
    <w:rsid w:val="00EC7B38"/>
    <w:rsid w:val="00EF4E4D"/>
    <w:rsid w:val="00F02636"/>
    <w:rsid w:val="00F056B5"/>
    <w:rsid w:val="00F676F5"/>
    <w:rsid w:val="00F82725"/>
    <w:rsid w:val="00F833EA"/>
    <w:rsid w:val="00FE37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34"/>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6474"/>
    <w:rPr>
      <w:rFonts w:cs="Times New Roman"/>
      <w:sz w:val="16"/>
      <w:szCs w:val="16"/>
    </w:rPr>
  </w:style>
  <w:style w:type="paragraph" w:styleId="CommentText">
    <w:name w:val="annotation text"/>
    <w:basedOn w:val="Normal"/>
    <w:link w:val="CommentTextChar"/>
    <w:uiPriority w:val="99"/>
    <w:semiHidden/>
    <w:rsid w:val="003464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46474"/>
    <w:rPr>
      <w:rFonts w:cs="Times New Roman"/>
      <w:sz w:val="20"/>
      <w:szCs w:val="20"/>
    </w:rPr>
  </w:style>
  <w:style w:type="paragraph" w:styleId="CommentSubject">
    <w:name w:val="annotation subject"/>
    <w:basedOn w:val="CommentText"/>
    <w:next w:val="CommentText"/>
    <w:link w:val="CommentSubjectChar"/>
    <w:uiPriority w:val="99"/>
    <w:semiHidden/>
    <w:rsid w:val="00346474"/>
    <w:rPr>
      <w:b/>
      <w:bCs/>
    </w:rPr>
  </w:style>
  <w:style w:type="character" w:customStyle="1" w:styleId="CommentSubjectChar">
    <w:name w:val="Comment Subject Char"/>
    <w:basedOn w:val="CommentTextChar"/>
    <w:link w:val="CommentSubject"/>
    <w:uiPriority w:val="99"/>
    <w:semiHidden/>
    <w:locked/>
    <w:rsid w:val="00346474"/>
    <w:rPr>
      <w:rFonts w:cs="Times New Roman"/>
      <w:b/>
      <w:bCs/>
      <w:sz w:val="20"/>
      <w:szCs w:val="20"/>
    </w:rPr>
  </w:style>
  <w:style w:type="paragraph" w:styleId="BalloonText">
    <w:name w:val="Balloon Text"/>
    <w:basedOn w:val="Normal"/>
    <w:link w:val="BalloonTextChar"/>
    <w:uiPriority w:val="99"/>
    <w:semiHidden/>
    <w:rsid w:val="00346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6474"/>
    <w:rPr>
      <w:rFonts w:ascii="Tahoma" w:hAnsi="Tahoma" w:cs="Tahoma"/>
      <w:sz w:val="16"/>
      <w:szCs w:val="16"/>
    </w:rPr>
  </w:style>
  <w:style w:type="paragraph" w:styleId="ListParagraph">
    <w:name w:val="List Paragraph"/>
    <w:basedOn w:val="Normal"/>
    <w:uiPriority w:val="34"/>
    <w:qFormat/>
    <w:rsid w:val="009549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34"/>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6474"/>
    <w:rPr>
      <w:rFonts w:cs="Times New Roman"/>
      <w:sz w:val="16"/>
      <w:szCs w:val="16"/>
    </w:rPr>
  </w:style>
  <w:style w:type="paragraph" w:styleId="CommentText">
    <w:name w:val="annotation text"/>
    <w:basedOn w:val="Normal"/>
    <w:link w:val="CommentTextChar"/>
    <w:uiPriority w:val="99"/>
    <w:semiHidden/>
    <w:rsid w:val="003464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46474"/>
    <w:rPr>
      <w:rFonts w:cs="Times New Roman"/>
      <w:sz w:val="20"/>
      <w:szCs w:val="20"/>
    </w:rPr>
  </w:style>
  <w:style w:type="paragraph" w:styleId="CommentSubject">
    <w:name w:val="annotation subject"/>
    <w:basedOn w:val="CommentText"/>
    <w:next w:val="CommentText"/>
    <w:link w:val="CommentSubjectChar"/>
    <w:uiPriority w:val="99"/>
    <w:semiHidden/>
    <w:rsid w:val="00346474"/>
    <w:rPr>
      <w:b/>
      <w:bCs/>
    </w:rPr>
  </w:style>
  <w:style w:type="character" w:customStyle="1" w:styleId="CommentSubjectChar">
    <w:name w:val="Comment Subject Char"/>
    <w:basedOn w:val="CommentTextChar"/>
    <w:link w:val="CommentSubject"/>
    <w:uiPriority w:val="99"/>
    <w:semiHidden/>
    <w:locked/>
    <w:rsid w:val="00346474"/>
    <w:rPr>
      <w:rFonts w:cs="Times New Roman"/>
      <w:b/>
      <w:bCs/>
      <w:sz w:val="20"/>
      <w:szCs w:val="20"/>
    </w:rPr>
  </w:style>
  <w:style w:type="paragraph" w:styleId="BalloonText">
    <w:name w:val="Balloon Text"/>
    <w:basedOn w:val="Normal"/>
    <w:link w:val="BalloonTextChar"/>
    <w:uiPriority w:val="99"/>
    <w:semiHidden/>
    <w:rsid w:val="00346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6474"/>
    <w:rPr>
      <w:rFonts w:ascii="Tahoma" w:hAnsi="Tahoma" w:cs="Tahoma"/>
      <w:sz w:val="16"/>
      <w:szCs w:val="16"/>
    </w:rPr>
  </w:style>
  <w:style w:type="paragraph" w:styleId="ListParagraph">
    <w:name w:val="List Paragraph"/>
    <w:basedOn w:val="Normal"/>
    <w:uiPriority w:val="34"/>
    <w:qFormat/>
    <w:rsid w:val="00954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70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Mihaylova</dc:creator>
  <cp:lastModifiedBy>Adelina Mihaylova</cp:lastModifiedBy>
  <cp:revision>2</cp:revision>
  <dcterms:created xsi:type="dcterms:W3CDTF">2014-07-30T14:48:00Z</dcterms:created>
  <dcterms:modified xsi:type="dcterms:W3CDTF">2014-07-30T14:48:00Z</dcterms:modified>
</cp:coreProperties>
</file>