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B7" w:rsidRPr="00DB5DB7" w:rsidRDefault="00DB5DB7" w:rsidP="00DB5DB7">
      <w:pPr>
        <w:pStyle w:val="Textbody"/>
        <w:spacing w:after="0"/>
        <w:jc w:val="right"/>
        <w:rPr>
          <w:b/>
          <w:bCs/>
          <w:color w:val="000000"/>
          <w:spacing w:val="-11"/>
        </w:rPr>
      </w:pPr>
      <w:r w:rsidRPr="00DB5DB7">
        <w:rPr>
          <w:b/>
          <w:bCs/>
          <w:color w:val="000000"/>
          <w:spacing w:val="-11"/>
        </w:rPr>
        <w:t xml:space="preserve">Приложение </w:t>
      </w:r>
      <w:r w:rsidR="00B671B3">
        <w:rPr>
          <w:b/>
          <w:bCs/>
          <w:color w:val="000000"/>
          <w:spacing w:val="-11"/>
          <w:lang w:val="en-US"/>
        </w:rPr>
        <w:t>7</w:t>
      </w:r>
      <w:bookmarkStart w:id="0" w:name="_GoBack"/>
      <w:bookmarkEnd w:id="0"/>
      <w:r w:rsidRPr="00DB5DB7">
        <w:rPr>
          <w:b/>
          <w:bCs/>
          <w:color w:val="000000"/>
          <w:spacing w:val="-11"/>
        </w:rPr>
        <w:t>.1</w:t>
      </w:r>
    </w:p>
    <w:p w:rsidR="00DB5DB7" w:rsidRPr="00DB5DB7" w:rsidRDefault="00DB5DB7" w:rsidP="00DB5DB7">
      <w:pPr>
        <w:pStyle w:val="Textbody"/>
        <w:spacing w:after="0"/>
        <w:jc w:val="right"/>
        <w:rPr>
          <w:b/>
          <w:bCs/>
          <w:color w:val="000000"/>
          <w:spacing w:val="-11"/>
        </w:rPr>
      </w:pPr>
    </w:p>
    <w:p w:rsidR="005A46ED" w:rsidRDefault="00DB5DB7" w:rsidP="00DB5DB7">
      <w:pPr>
        <w:pStyle w:val="Textbody"/>
        <w:spacing w:after="0"/>
        <w:jc w:val="center"/>
        <w:rPr>
          <w:b/>
          <w:bCs/>
          <w:color w:val="000000"/>
          <w:spacing w:val="-11"/>
        </w:rPr>
      </w:pPr>
      <w:r w:rsidRPr="00DB5DB7">
        <w:rPr>
          <w:b/>
          <w:bCs/>
          <w:color w:val="000000"/>
          <w:spacing w:val="-11"/>
          <w:lang w:val="en-GB"/>
        </w:rPr>
        <w:t>Техническ</w:t>
      </w:r>
      <w:r w:rsidR="00721C04">
        <w:rPr>
          <w:b/>
          <w:bCs/>
          <w:color w:val="000000"/>
          <w:spacing w:val="-11"/>
        </w:rPr>
        <w:t>о</w:t>
      </w:r>
      <w:r w:rsidRPr="00DB5DB7">
        <w:rPr>
          <w:b/>
          <w:bCs/>
          <w:color w:val="000000"/>
          <w:spacing w:val="-11"/>
          <w:lang w:val="en-GB"/>
        </w:rPr>
        <w:t xml:space="preserve"> </w:t>
      </w:r>
      <w:r w:rsidR="00800E2B">
        <w:rPr>
          <w:b/>
          <w:bCs/>
          <w:color w:val="000000"/>
          <w:spacing w:val="-11"/>
        </w:rPr>
        <w:t>предложение</w:t>
      </w:r>
      <w:r w:rsidRPr="00DB5DB7">
        <w:rPr>
          <w:b/>
          <w:bCs/>
          <w:color w:val="000000"/>
          <w:spacing w:val="-11"/>
          <w:lang w:val="en-GB"/>
        </w:rPr>
        <w:t xml:space="preserve"> </w:t>
      </w:r>
    </w:p>
    <w:p w:rsidR="00DB5DB7" w:rsidRPr="005A46ED" w:rsidRDefault="00DB5DB7" w:rsidP="00DB5DB7">
      <w:pPr>
        <w:pStyle w:val="Textbody"/>
        <w:spacing w:after="0"/>
        <w:jc w:val="center"/>
        <w:rPr>
          <w:b/>
          <w:bCs/>
          <w:color w:val="000000"/>
          <w:spacing w:val="-11"/>
        </w:rPr>
      </w:pPr>
      <w:r w:rsidRPr="00DB5DB7">
        <w:rPr>
          <w:b/>
          <w:bCs/>
          <w:color w:val="000000"/>
          <w:spacing w:val="-11"/>
          <w:lang w:val="en-GB"/>
        </w:rPr>
        <w:t xml:space="preserve">за застраховане </w:t>
      </w:r>
      <w:r w:rsidRPr="00DB5DB7">
        <w:rPr>
          <w:b/>
          <w:bCs/>
          <w:color w:val="000000"/>
          <w:spacing w:val="-11"/>
        </w:rPr>
        <w:t xml:space="preserve">на </w:t>
      </w:r>
      <w:r w:rsidRPr="00DB5DB7">
        <w:rPr>
          <w:b/>
          <w:bCs/>
          <w:color w:val="000000"/>
          <w:spacing w:val="-11"/>
          <w:lang w:val="en-GB"/>
        </w:rPr>
        <w:t xml:space="preserve">автомобили, ползвани от болница </w:t>
      </w:r>
      <w:r w:rsidRPr="00DB5DB7">
        <w:rPr>
          <w:b/>
          <w:bCs/>
          <w:color w:val="000000"/>
          <w:spacing w:val="-11"/>
        </w:rPr>
        <w:t>„Л</w:t>
      </w:r>
      <w:r w:rsidRPr="00DB5DB7">
        <w:rPr>
          <w:b/>
          <w:bCs/>
          <w:color w:val="000000"/>
          <w:spacing w:val="-11"/>
          <w:lang w:val="en-GB"/>
        </w:rPr>
        <w:t>озенец</w:t>
      </w:r>
      <w:r w:rsidRPr="00DB5DB7">
        <w:rPr>
          <w:b/>
          <w:bCs/>
          <w:color w:val="000000"/>
          <w:spacing w:val="-11"/>
        </w:rPr>
        <w:t>“</w:t>
      </w:r>
      <w:r w:rsidRPr="00DB5DB7">
        <w:rPr>
          <w:b/>
          <w:bCs/>
          <w:color w:val="000000"/>
          <w:spacing w:val="-11"/>
          <w:lang w:val="en-GB"/>
        </w:rPr>
        <w:t>, по условията на задължителна застраховка “</w:t>
      </w:r>
      <w:r w:rsidRPr="00DB5DB7">
        <w:rPr>
          <w:b/>
          <w:bCs/>
          <w:color w:val="000000"/>
          <w:spacing w:val="-11"/>
        </w:rPr>
        <w:t>Г</w:t>
      </w:r>
      <w:r w:rsidRPr="00DB5DB7">
        <w:rPr>
          <w:b/>
          <w:bCs/>
          <w:color w:val="000000"/>
          <w:spacing w:val="-11"/>
          <w:lang w:val="en-GB"/>
        </w:rPr>
        <w:t>ражданска отговорност“ на автомобилистите</w:t>
      </w:r>
      <w:r w:rsidR="005A46ED">
        <w:rPr>
          <w:b/>
          <w:bCs/>
          <w:color w:val="000000"/>
          <w:spacing w:val="-11"/>
        </w:rPr>
        <w:t>.</w:t>
      </w:r>
    </w:p>
    <w:p w:rsidR="00DB5DB7" w:rsidRPr="00DB5DB7" w:rsidRDefault="00DB5DB7" w:rsidP="00DB5DB7">
      <w:pPr>
        <w:pStyle w:val="Textbody"/>
        <w:spacing w:after="0"/>
        <w:jc w:val="both"/>
        <w:rPr>
          <w:b/>
          <w:bCs/>
          <w:color w:val="000000"/>
          <w:spacing w:val="-11"/>
        </w:rPr>
      </w:pPr>
    </w:p>
    <w:p w:rsidR="00800E2B" w:rsidRDefault="00800E2B" w:rsidP="00DB5DB7">
      <w:pPr>
        <w:spacing w:after="0" w:line="240" w:lineRule="auto"/>
        <w:jc w:val="both"/>
        <w:rPr>
          <w:rFonts w:ascii="Times New Roman" w:hAnsi="Times New Roman" w:cs="Times New Roman"/>
          <w:sz w:val="24"/>
          <w:szCs w:val="24"/>
          <w:lang w:val="bg-BG"/>
        </w:rPr>
      </w:pPr>
    </w:p>
    <w:tbl>
      <w:tblPr>
        <w:tblStyle w:val="TableGrid"/>
        <w:tblW w:w="0" w:type="auto"/>
        <w:tblLook w:val="04A0" w:firstRow="1" w:lastRow="0" w:firstColumn="1" w:lastColumn="0" w:noHBand="0" w:noVBand="1"/>
      </w:tblPr>
      <w:tblGrid>
        <w:gridCol w:w="534"/>
        <w:gridCol w:w="6131"/>
        <w:gridCol w:w="3333"/>
      </w:tblGrid>
      <w:tr w:rsidR="005A46ED" w:rsidTr="0061706B">
        <w:tc>
          <w:tcPr>
            <w:tcW w:w="534" w:type="dxa"/>
            <w:vAlign w:val="center"/>
          </w:tcPr>
          <w:p w:rsidR="005A46ED" w:rsidRPr="005A46ED" w:rsidRDefault="005A46ED" w:rsidP="00646138">
            <w:pPr>
              <w:jc w:val="center"/>
              <w:rPr>
                <w:rFonts w:ascii="Times New Roman" w:hAnsi="Times New Roman" w:cs="Times New Roman"/>
                <w:b/>
                <w:sz w:val="24"/>
                <w:szCs w:val="24"/>
                <w:lang w:val="bg-BG"/>
              </w:rPr>
            </w:pPr>
            <w:r w:rsidRPr="005A46ED">
              <w:rPr>
                <w:rFonts w:ascii="Times New Roman" w:hAnsi="Times New Roman" w:cs="Times New Roman"/>
                <w:b/>
                <w:sz w:val="24"/>
                <w:szCs w:val="24"/>
                <w:lang w:val="bg-BG"/>
              </w:rPr>
              <w:t>№</w:t>
            </w:r>
          </w:p>
        </w:tc>
        <w:tc>
          <w:tcPr>
            <w:tcW w:w="6131" w:type="dxa"/>
            <w:vAlign w:val="center"/>
          </w:tcPr>
          <w:p w:rsidR="005A46ED" w:rsidRPr="005A46ED" w:rsidRDefault="005A46ED" w:rsidP="00646138">
            <w:pPr>
              <w:jc w:val="center"/>
              <w:rPr>
                <w:rFonts w:ascii="Times New Roman" w:hAnsi="Times New Roman" w:cs="Times New Roman"/>
                <w:b/>
                <w:sz w:val="24"/>
                <w:szCs w:val="24"/>
                <w:lang w:val="bg-BG"/>
              </w:rPr>
            </w:pPr>
            <w:r w:rsidRPr="005A46ED">
              <w:rPr>
                <w:rFonts w:ascii="Times New Roman" w:hAnsi="Times New Roman" w:cs="Times New Roman"/>
                <w:b/>
                <w:bCs/>
                <w:color w:val="000000"/>
                <w:spacing w:val="-11"/>
                <w:sz w:val="24"/>
                <w:szCs w:val="24"/>
                <w:lang w:val="bg-BG"/>
              </w:rPr>
              <w:t>Изисквания на възложителя</w:t>
            </w:r>
          </w:p>
        </w:tc>
        <w:tc>
          <w:tcPr>
            <w:tcW w:w="3333" w:type="dxa"/>
            <w:vAlign w:val="center"/>
          </w:tcPr>
          <w:p w:rsidR="005A46ED" w:rsidRPr="005A46ED" w:rsidRDefault="005A46ED" w:rsidP="00646138">
            <w:pPr>
              <w:jc w:val="center"/>
              <w:rPr>
                <w:rFonts w:ascii="Times New Roman" w:hAnsi="Times New Roman" w:cs="Times New Roman"/>
                <w:b/>
                <w:sz w:val="24"/>
                <w:szCs w:val="24"/>
                <w:lang w:val="bg-BG"/>
              </w:rPr>
            </w:pPr>
            <w:r w:rsidRPr="005A46ED">
              <w:rPr>
                <w:rFonts w:ascii="Times New Roman" w:hAnsi="Times New Roman" w:cs="Times New Roman"/>
                <w:b/>
                <w:sz w:val="24"/>
                <w:szCs w:val="24"/>
                <w:lang w:val="bg-BG"/>
              </w:rPr>
              <w:t>Предложение на участника</w:t>
            </w: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t>1</w:t>
            </w:r>
          </w:p>
        </w:tc>
        <w:tc>
          <w:tcPr>
            <w:tcW w:w="6131" w:type="dxa"/>
          </w:tcPr>
          <w:p w:rsidR="005A46ED" w:rsidRDefault="005A46ED" w:rsidP="00DB5DB7">
            <w:pPr>
              <w:jc w:val="both"/>
              <w:rPr>
                <w:rFonts w:ascii="Times New Roman" w:hAnsi="Times New Roman" w:cs="Times New Roman"/>
                <w:sz w:val="24"/>
                <w:szCs w:val="24"/>
                <w:lang w:val="bg-BG"/>
              </w:rPr>
            </w:pPr>
            <w:r w:rsidRPr="005A46ED">
              <w:rPr>
                <w:rFonts w:ascii="Times New Roman" w:hAnsi="Times New Roman" w:cs="Times New Roman"/>
                <w:sz w:val="24"/>
                <w:szCs w:val="24"/>
                <w:lang w:val="bg-BG"/>
              </w:rPr>
              <w:t>Застраховка “Гражданска отговорност” на автомобилистите се сключва, като се съблюдават минималните застрахователни суми (лимити) за всяко събитие, съгласно Кодекса за застраховането</w:t>
            </w: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t>2</w:t>
            </w:r>
          </w:p>
        </w:tc>
        <w:tc>
          <w:tcPr>
            <w:tcW w:w="6131" w:type="dxa"/>
          </w:tcPr>
          <w:p w:rsidR="005A46ED" w:rsidRDefault="005A46ED" w:rsidP="00DB5DB7">
            <w:pPr>
              <w:jc w:val="both"/>
              <w:rPr>
                <w:rFonts w:ascii="Times New Roman" w:hAnsi="Times New Roman" w:cs="Times New Roman"/>
                <w:sz w:val="24"/>
                <w:szCs w:val="24"/>
                <w:lang w:val="bg-BG"/>
              </w:rPr>
            </w:pPr>
            <w:r w:rsidRPr="00DB5DB7">
              <w:rPr>
                <w:rFonts w:ascii="Times New Roman" w:hAnsi="Times New Roman" w:cs="Times New Roman"/>
                <w:sz w:val="24"/>
                <w:szCs w:val="24"/>
              </w:rPr>
              <w:t>Застрахователната премия по застраховка “Гражданска отговорност”, следва да се определи, като се изчислява общо за всички описани в приложеният списък МПС-та /посочени в Табл. №:1, т.1.14. от настоящите технически указания/, като осигури покритие в съответствие с териториалния обхват, описан в т. 9</w:t>
            </w: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t>3</w:t>
            </w:r>
          </w:p>
        </w:tc>
        <w:tc>
          <w:tcPr>
            <w:tcW w:w="6131" w:type="dxa"/>
          </w:tcPr>
          <w:p w:rsidR="005A46ED" w:rsidRDefault="005A46ED" w:rsidP="00DB5DB7">
            <w:pPr>
              <w:jc w:val="both"/>
              <w:rPr>
                <w:rFonts w:ascii="Times New Roman" w:hAnsi="Times New Roman" w:cs="Times New Roman"/>
                <w:sz w:val="24"/>
                <w:szCs w:val="24"/>
                <w:lang w:val="bg-BG"/>
              </w:rPr>
            </w:pPr>
            <w:r w:rsidRPr="00DB5DB7">
              <w:rPr>
                <w:rFonts w:ascii="Times New Roman" w:hAnsi="Times New Roman" w:cs="Times New Roman"/>
                <w:sz w:val="24"/>
                <w:szCs w:val="24"/>
              </w:rPr>
              <w:t>Застрахователната премия по застраховка “Гражданска отговорност”,  трябва да включва и вноски за Гаранционен фонд, Обезпечителен фонд, дължимият Данък върху застрахователните премии (обн. Държавен вестник, бр. 86 от 02.11.2010 г., в сила от 01.01.2011 г.) , както и всички други такси, дължими от застрахования.</w:t>
            </w: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t>4</w:t>
            </w:r>
          </w:p>
        </w:tc>
        <w:tc>
          <w:tcPr>
            <w:tcW w:w="6131" w:type="dxa"/>
          </w:tcPr>
          <w:p w:rsidR="005A46ED" w:rsidRDefault="005A46ED" w:rsidP="00DB5DB7">
            <w:pPr>
              <w:jc w:val="both"/>
              <w:rPr>
                <w:rFonts w:ascii="Times New Roman" w:hAnsi="Times New Roman" w:cs="Times New Roman"/>
                <w:sz w:val="24"/>
                <w:szCs w:val="24"/>
                <w:lang w:val="bg-BG"/>
              </w:rPr>
            </w:pPr>
            <w:r w:rsidRPr="00DB5DB7">
              <w:rPr>
                <w:rFonts w:ascii="Times New Roman" w:hAnsi="Times New Roman" w:cs="Times New Roman"/>
                <w:sz w:val="24"/>
                <w:szCs w:val="24"/>
              </w:rPr>
              <w:t>Застрахователната премия по застраховка “Гражданска отговорност” не трябва да включва отстъпки/ бонуси, които да бъдат изискуеми и дължими към застрахователя при настъпване на застрахователно събитие.</w:t>
            </w: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t>5</w:t>
            </w:r>
          </w:p>
        </w:tc>
        <w:tc>
          <w:tcPr>
            <w:tcW w:w="6131" w:type="dxa"/>
          </w:tcPr>
          <w:p w:rsidR="00E528AD" w:rsidRPr="003C7F3B" w:rsidRDefault="00E528AD" w:rsidP="00E528AD">
            <w:pPr>
              <w:jc w:val="both"/>
              <w:rPr>
                <w:rFonts w:ascii="Times New Roman" w:hAnsi="Times New Roman" w:cs="Times New Roman"/>
                <w:sz w:val="24"/>
                <w:szCs w:val="24"/>
              </w:rPr>
            </w:pPr>
            <w:r w:rsidRPr="003C7F3B">
              <w:rPr>
                <w:rFonts w:ascii="Times New Roman" w:hAnsi="Times New Roman" w:cs="Times New Roman"/>
                <w:sz w:val="24"/>
                <w:szCs w:val="24"/>
              </w:rPr>
              <w:t>Условия на плащане на застрахователната премия:</w:t>
            </w:r>
          </w:p>
          <w:p w:rsidR="00E528AD" w:rsidRPr="003C7F3B" w:rsidRDefault="00E528AD" w:rsidP="00E528AD">
            <w:pPr>
              <w:jc w:val="both"/>
              <w:rPr>
                <w:rFonts w:ascii="Times New Roman" w:hAnsi="Times New Roman" w:cs="Times New Roman"/>
                <w:sz w:val="24"/>
                <w:szCs w:val="24"/>
              </w:rPr>
            </w:pPr>
            <w:r w:rsidRPr="003C7F3B">
              <w:rPr>
                <w:rFonts w:ascii="Times New Roman" w:hAnsi="Times New Roman" w:cs="Times New Roman"/>
                <w:sz w:val="24"/>
                <w:szCs w:val="24"/>
              </w:rPr>
              <w:t>а/ еднократно или разсрочено /до четири равни вноски/, без завишение, в български лв. по банков път</w:t>
            </w:r>
          </w:p>
          <w:p w:rsidR="00E528AD" w:rsidRPr="003C7F3B" w:rsidRDefault="00E528AD" w:rsidP="00E528AD">
            <w:pPr>
              <w:jc w:val="both"/>
              <w:rPr>
                <w:rFonts w:ascii="Times New Roman" w:hAnsi="Times New Roman" w:cs="Times New Roman"/>
                <w:sz w:val="24"/>
                <w:szCs w:val="24"/>
              </w:rPr>
            </w:pPr>
            <w:r w:rsidRPr="003C7F3B">
              <w:rPr>
                <w:rFonts w:ascii="Times New Roman" w:hAnsi="Times New Roman" w:cs="Times New Roman"/>
                <w:sz w:val="24"/>
                <w:szCs w:val="24"/>
              </w:rPr>
              <w:t>б/ застрахователната премия се издължава до 15 работни дни, след влизане в сила на застрахователната полица.</w:t>
            </w:r>
          </w:p>
          <w:p w:rsidR="005A46ED" w:rsidRDefault="005A46ED" w:rsidP="00DB5DB7">
            <w:pPr>
              <w:jc w:val="both"/>
              <w:rPr>
                <w:rFonts w:ascii="Times New Roman" w:hAnsi="Times New Roman" w:cs="Times New Roman"/>
                <w:sz w:val="24"/>
                <w:szCs w:val="24"/>
                <w:lang w:val="bg-BG"/>
              </w:rPr>
            </w:pP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t>6</w:t>
            </w:r>
          </w:p>
        </w:tc>
        <w:tc>
          <w:tcPr>
            <w:tcW w:w="6131" w:type="dxa"/>
          </w:tcPr>
          <w:p w:rsidR="005A46ED" w:rsidRDefault="00913308" w:rsidP="00DB5DB7">
            <w:pPr>
              <w:jc w:val="both"/>
              <w:rPr>
                <w:rFonts w:ascii="Times New Roman" w:hAnsi="Times New Roman" w:cs="Times New Roman"/>
                <w:sz w:val="24"/>
                <w:szCs w:val="24"/>
                <w:lang w:val="bg-BG"/>
              </w:rPr>
            </w:pPr>
            <w:r w:rsidRPr="00DB5DB7">
              <w:rPr>
                <w:rFonts w:ascii="Times New Roman" w:hAnsi="Times New Roman" w:cs="Times New Roman"/>
                <w:sz w:val="24"/>
                <w:szCs w:val="24"/>
              </w:rPr>
              <w:t>В случай, че за Възложителят възникне необходимост от застраховане на нови МПС, различни от описаните в Табл. №:1</w:t>
            </w:r>
            <w:r>
              <w:rPr>
                <w:rFonts w:ascii="Times New Roman" w:hAnsi="Times New Roman" w:cs="Times New Roman"/>
                <w:sz w:val="24"/>
                <w:szCs w:val="24"/>
                <w:lang w:val="bg-BG"/>
              </w:rPr>
              <w:t xml:space="preserve"> </w:t>
            </w:r>
            <w:r w:rsidRPr="00DB5DB7">
              <w:rPr>
                <w:rFonts w:ascii="Times New Roman" w:hAnsi="Times New Roman" w:cs="Times New Roman"/>
                <w:sz w:val="24"/>
                <w:szCs w:val="24"/>
              </w:rPr>
              <w:t>- т.14, след сключване и влизане в сила на застрахователния договор и има необходимост от тяхното застраховане, то те да могат да се застраховат при спазване на договорените по силата на сключения застрахователен договор условия, съответно, съгласно офертата на избрания за Изпълнител участик. Новопридобити автомобили, следва да могат да се застраховат по условията на задължителна застраховка „Гражданска отговорност на автомобилистите“, от датата на тяхното придобиване до края на срока на сключения застрахователния договор, по усмотрение на Възложителя.</w:t>
            </w: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t>7</w:t>
            </w:r>
          </w:p>
        </w:tc>
        <w:tc>
          <w:tcPr>
            <w:tcW w:w="6131" w:type="dxa"/>
          </w:tcPr>
          <w:p w:rsidR="005A46ED" w:rsidRDefault="00913308" w:rsidP="00DB5DB7">
            <w:pPr>
              <w:jc w:val="both"/>
              <w:rPr>
                <w:rFonts w:ascii="Times New Roman" w:hAnsi="Times New Roman" w:cs="Times New Roman"/>
                <w:sz w:val="24"/>
                <w:szCs w:val="24"/>
                <w:lang w:val="bg-BG"/>
              </w:rPr>
            </w:pPr>
            <w:r w:rsidRPr="00DB5DB7">
              <w:rPr>
                <w:rFonts w:ascii="Times New Roman" w:hAnsi="Times New Roman" w:cs="Times New Roman"/>
                <w:sz w:val="24"/>
                <w:szCs w:val="24"/>
              </w:rPr>
              <w:t xml:space="preserve">В случай на прекратяване на необходимостта от застраховка на някой от автомобилите, Застрахователят следва да предложи опция за възстановяване сумата за платената застрахователна премия от БОЛНИЦА </w:t>
            </w:r>
            <w:r w:rsidRPr="00DB5DB7">
              <w:rPr>
                <w:rFonts w:ascii="Times New Roman" w:hAnsi="Times New Roman" w:cs="Times New Roman"/>
                <w:sz w:val="24"/>
                <w:szCs w:val="24"/>
              </w:rPr>
              <w:lastRenderedPageBreak/>
              <w:t>ЛОЗЕНЕЦ, пропорционално на изтеклия застрахователния период, без да се правят допълнителни удръжки или да се дължат неустойки от страна на застрахования  /БОЛНИЦА ЛОЗЕНЕЦ/.</w:t>
            </w: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8</w:t>
            </w:r>
          </w:p>
        </w:tc>
        <w:tc>
          <w:tcPr>
            <w:tcW w:w="6131" w:type="dxa"/>
          </w:tcPr>
          <w:p w:rsidR="005A46ED" w:rsidRDefault="00913308" w:rsidP="00E9573E">
            <w:pPr>
              <w:jc w:val="both"/>
              <w:rPr>
                <w:rFonts w:ascii="Times New Roman" w:hAnsi="Times New Roman" w:cs="Times New Roman"/>
                <w:sz w:val="24"/>
                <w:szCs w:val="24"/>
                <w:lang w:val="bg-BG"/>
              </w:rPr>
            </w:pPr>
            <w:r w:rsidRPr="00DB5DB7">
              <w:rPr>
                <w:rFonts w:ascii="Times New Roman" w:hAnsi="Times New Roman" w:cs="Times New Roman"/>
                <w:sz w:val="24"/>
                <w:szCs w:val="24"/>
              </w:rPr>
              <w:t xml:space="preserve">Срок на застрахователните договори: Застрахователните договори за посочените в списъка в </w:t>
            </w:r>
            <w:r>
              <w:rPr>
                <w:rFonts w:ascii="Times New Roman" w:hAnsi="Times New Roman" w:cs="Times New Roman"/>
                <w:sz w:val="24"/>
                <w:szCs w:val="24"/>
                <w:lang w:val="bg-BG"/>
              </w:rPr>
              <w:t>Таблица 1</w:t>
            </w:r>
            <w:r w:rsidRPr="00DB5DB7">
              <w:rPr>
                <w:rFonts w:ascii="Times New Roman" w:hAnsi="Times New Roman" w:cs="Times New Roman"/>
                <w:sz w:val="24"/>
                <w:szCs w:val="24"/>
              </w:rPr>
              <w:t xml:space="preserve"> - т. 14 автомобили,  се сключват за  срок  от 12 месеца, с начало от 00.00 часа на </w:t>
            </w:r>
            <w:r w:rsidR="00E9573E">
              <w:rPr>
                <w:rFonts w:ascii="Times New Roman" w:hAnsi="Times New Roman" w:cs="Times New Roman"/>
                <w:sz w:val="24"/>
                <w:szCs w:val="24"/>
                <w:lang w:val="bg-BG"/>
              </w:rPr>
              <w:t>деня, следващ датата</w:t>
            </w:r>
            <w:r w:rsidRPr="00DB5DB7">
              <w:rPr>
                <w:rFonts w:ascii="Times New Roman" w:hAnsi="Times New Roman" w:cs="Times New Roman"/>
                <w:sz w:val="24"/>
                <w:szCs w:val="24"/>
              </w:rPr>
              <w:t>, посочена в</w:t>
            </w:r>
            <w:r>
              <w:rPr>
                <w:rFonts w:ascii="Times New Roman" w:hAnsi="Times New Roman" w:cs="Times New Roman"/>
                <w:sz w:val="24"/>
                <w:szCs w:val="24"/>
                <w:lang w:val="bg-BG"/>
              </w:rPr>
              <w:t xml:space="preserve"> Таблица 1</w:t>
            </w:r>
            <w:r w:rsidRPr="00DB5DB7">
              <w:rPr>
                <w:rFonts w:ascii="Times New Roman" w:hAnsi="Times New Roman" w:cs="Times New Roman"/>
                <w:sz w:val="24"/>
                <w:szCs w:val="24"/>
              </w:rPr>
              <w:t xml:space="preserve"> - т. 14.</w:t>
            </w: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t>9</w:t>
            </w:r>
          </w:p>
        </w:tc>
        <w:tc>
          <w:tcPr>
            <w:tcW w:w="6131" w:type="dxa"/>
          </w:tcPr>
          <w:p w:rsidR="005A46ED" w:rsidRDefault="00913308" w:rsidP="00DB5DB7">
            <w:pPr>
              <w:jc w:val="both"/>
              <w:rPr>
                <w:rFonts w:ascii="Times New Roman" w:hAnsi="Times New Roman" w:cs="Times New Roman"/>
                <w:sz w:val="24"/>
                <w:szCs w:val="24"/>
                <w:lang w:val="bg-BG"/>
              </w:rPr>
            </w:pPr>
            <w:r w:rsidRPr="00DB5DB7">
              <w:rPr>
                <w:rFonts w:ascii="Times New Roman" w:hAnsi="Times New Roman" w:cs="Times New Roman"/>
                <w:sz w:val="24"/>
                <w:szCs w:val="24"/>
              </w:rPr>
              <w:t>Териториален обхват на застраховките: територията на Републи България,  всички държави-членки на Европейски съюз (ЕС), Европейско икономическо пространство (ЕИП), Андора, Сърбия и Швейцария (държавите-членки по Многостранното гаранционно споразумение – МГС).</w:t>
            </w: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t>10</w:t>
            </w:r>
          </w:p>
        </w:tc>
        <w:tc>
          <w:tcPr>
            <w:tcW w:w="6131" w:type="dxa"/>
          </w:tcPr>
          <w:p w:rsidR="005A46ED" w:rsidRDefault="00913308" w:rsidP="00DB5DB7">
            <w:pPr>
              <w:jc w:val="both"/>
              <w:rPr>
                <w:rFonts w:ascii="Times New Roman" w:hAnsi="Times New Roman" w:cs="Times New Roman"/>
                <w:sz w:val="24"/>
                <w:szCs w:val="24"/>
                <w:lang w:val="bg-BG"/>
              </w:rPr>
            </w:pPr>
            <w:r w:rsidRPr="00DB5DB7">
              <w:rPr>
                <w:rFonts w:ascii="Times New Roman" w:hAnsi="Times New Roman" w:cs="Times New Roman"/>
                <w:sz w:val="24"/>
                <w:szCs w:val="24"/>
              </w:rPr>
              <w:t>В случай на необходимост за управление на някои от застрахованите МПС-та извън територията на РЕПУБЛИКА БЪЛГАРИЯ и на територията на държавите, описани в т.9., застрахователят се задължава да издаде, при поискване от страна на застрахования и без доплащане на допънителна премия, на Международна карта за автомобилна застраховка /т.нар. сертификат „Зелена карта“./</w:t>
            </w: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t>11</w:t>
            </w:r>
          </w:p>
        </w:tc>
        <w:tc>
          <w:tcPr>
            <w:tcW w:w="6131" w:type="dxa"/>
          </w:tcPr>
          <w:p w:rsidR="005A46ED" w:rsidRDefault="00913308" w:rsidP="00DB5DB7">
            <w:pPr>
              <w:jc w:val="both"/>
              <w:rPr>
                <w:rFonts w:ascii="Times New Roman" w:hAnsi="Times New Roman" w:cs="Times New Roman"/>
                <w:sz w:val="24"/>
                <w:szCs w:val="24"/>
                <w:lang w:val="bg-BG"/>
              </w:rPr>
            </w:pPr>
            <w:r w:rsidRPr="00DB5DB7">
              <w:rPr>
                <w:rFonts w:ascii="Times New Roman" w:hAnsi="Times New Roman" w:cs="Times New Roman"/>
                <w:sz w:val="24"/>
                <w:szCs w:val="24"/>
              </w:rPr>
              <w:t xml:space="preserve">В случай, че е необходимо разширяване на териториялния обхват по застраховката за срани /“трети страни“/, различни от описаните в т.9., /т.е. разширяване на териториялния обхват на застраховка „Гражданска отговоронст“ за страните: Република Албания, Босна и Херцеговина, Република Беларус, Държавата Израел, Ислямска Република Иран, Кралство Мароко, Република Молдова, Бивша югославска република Македония, Черна гора, Руска федерация, Тунизийска Република, Република Турция и Украйна/ и за издаване на сертификат „Зелена карта“ за тези страни застрахователят предвижда необходимост от доплащане на премия, следва в офертата за застраховане да е посочен размер на доплащането за всеки автомобил по отделно. При необходимост от разширяване на териториалния обхват по застраховка „Гражданска отговорност  за територията на т.нар „трети страни“ /Република Албания, Босна и Херцеговина, Република Беларус, Държавата Израел, Ислямска Република Иран, Кралство Мароко, Република Молдова, Бивша югославска република Македония, Черна гора, Руска федерация, Тунизийска Република, Република Турция и Украйна/ за някой от автомобилите през срока на валидност на издадената за него застраховка „Гражданска отговорност“, застрахователят се задължава да издаде такъв при доплащане, не по-високо от посоченото в офертата доплащане за сертификат „Зелена карта“ за съответния автомобил. В случай, че застрахователят се съгласява да издава сертификат „Зелена карта“ за страни , различни от описаните в т.9, </w:t>
            </w:r>
            <w:r w:rsidRPr="00DB5DB7">
              <w:rPr>
                <w:rFonts w:ascii="Times New Roman" w:hAnsi="Times New Roman" w:cs="Times New Roman"/>
                <w:sz w:val="24"/>
                <w:szCs w:val="24"/>
              </w:rPr>
              <w:lastRenderedPageBreak/>
              <w:t>без да изисква доплащане от страна на застрахования, следва да декларира в офертата, че издаването на сертификат „зелена карта“ за страните различни от описаните в т.9. /т.е. за Република Албания, Босна и Херцеговина, Република Беларус, Държавата Израел, Ислямска Република Иран, Кралство Мароко, Република Молдова, Бивша югославска република Македония, Черна гора, Руска федерация, Тунизийска Република, Република Турция и Украйна/ ще бъде безплатно</w:t>
            </w:r>
          </w:p>
        </w:tc>
        <w:tc>
          <w:tcPr>
            <w:tcW w:w="3333" w:type="dxa"/>
          </w:tcPr>
          <w:p w:rsidR="005A46ED" w:rsidRDefault="005A46ED" w:rsidP="00DB5DB7">
            <w:pPr>
              <w:jc w:val="both"/>
              <w:rPr>
                <w:rFonts w:ascii="Times New Roman" w:hAnsi="Times New Roman" w:cs="Times New Roman"/>
                <w:sz w:val="24"/>
                <w:szCs w:val="24"/>
                <w:lang w:val="bg-BG"/>
              </w:rPr>
            </w:pPr>
          </w:p>
        </w:tc>
      </w:tr>
      <w:tr w:rsidR="005A46ED" w:rsidTr="005A46ED">
        <w:tc>
          <w:tcPr>
            <w:tcW w:w="534" w:type="dxa"/>
          </w:tcPr>
          <w:p w:rsidR="005A46ED" w:rsidRDefault="005A46ED" w:rsidP="00DB5DB7">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12</w:t>
            </w:r>
          </w:p>
        </w:tc>
        <w:tc>
          <w:tcPr>
            <w:tcW w:w="6131" w:type="dxa"/>
          </w:tcPr>
          <w:p w:rsidR="005A46ED" w:rsidRDefault="00913308" w:rsidP="00DB5DB7">
            <w:pPr>
              <w:jc w:val="both"/>
              <w:rPr>
                <w:rFonts w:ascii="Times New Roman" w:hAnsi="Times New Roman" w:cs="Times New Roman"/>
                <w:sz w:val="24"/>
                <w:szCs w:val="24"/>
                <w:lang w:val="bg-BG"/>
              </w:rPr>
            </w:pPr>
            <w:r w:rsidRPr="00913308">
              <w:rPr>
                <w:rFonts w:ascii="Times New Roman" w:hAnsi="Times New Roman" w:cs="Times New Roman"/>
                <w:sz w:val="24"/>
                <w:szCs w:val="24"/>
              </w:rPr>
              <w:t>Информацията по т. 11 се декларира, без посоченото доплащане за издаване на сертификат „зелена карта“ за така нар. „трети страни“ / за страните: Република Албания, Босна и Херцеговина, Република Беларус, Държавата Израел, Ислямска Република Иран, Кралство Мароко, Република Молдова, Бивша югославска република Македония, Черна гора, Руска федерация, Тунизийска Република, Република Турция и Украйна/ да има тежест при избора на застраховател. Предложените от участниците оферти ще бъдат класирани по критерий за оценка „най -ниска цена“, на база на премията, без включено доплащане за сертификат „зелена карта“ за т. нар. „трети страни“ /за Република Албания, Босна и Херцеговина, Република Беларус, Държавата Израел, Ислямска Република Иран, Кралство Мароко, Република Молдова, Бивша югославска република Македония, Черна гора, Руска федерация, Тунизийска Република, Република Турция и Украйна/.</w:t>
            </w:r>
          </w:p>
        </w:tc>
        <w:tc>
          <w:tcPr>
            <w:tcW w:w="3333" w:type="dxa"/>
          </w:tcPr>
          <w:p w:rsidR="005A46ED" w:rsidRDefault="005A46ED" w:rsidP="00DB5DB7">
            <w:pPr>
              <w:jc w:val="both"/>
              <w:rPr>
                <w:rFonts w:ascii="Times New Roman" w:hAnsi="Times New Roman" w:cs="Times New Roman"/>
                <w:sz w:val="24"/>
                <w:szCs w:val="24"/>
                <w:lang w:val="bg-BG"/>
              </w:rPr>
            </w:pPr>
          </w:p>
        </w:tc>
      </w:tr>
    </w:tbl>
    <w:p w:rsidR="00800E2B" w:rsidRDefault="00800E2B" w:rsidP="00DB5DB7">
      <w:pPr>
        <w:spacing w:after="0" w:line="240" w:lineRule="auto"/>
        <w:jc w:val="both"/>
        <w:rPr>
          <w:rFonts w:ascii="Times New Roman" w:hAnsi="Times New Roman" w:cs="Times New Roman"/>
          <w:sz w:val="24"/>
          <w:szCs w:val="24"/>
          <w:lang w:val="bg-BG"/>
        </w:rPr>
      </w:pPr>
    </w:p>
    <w:p w:rsidR="00853234" w:rsidRPr="00853234" w:rsidRDefault="00853234" w:rsidP="00853234">
      <w:pPr>
        <w:spacing w:after="0" w:line="240" w:lineRule="auto"/>
        <w:jc w:val="both"/>
        <w:rPr>
          <w:rFonts w:ascii="Times New Roman" w:eastAsia="Times New Roman" w:hAnsi="Times New Roman" w:cs="Times New Roman"/>
          <w:sz w:val="24"/>
          <w:szCs w:val="24"/>
          <w:lang w:val="bg-BG" w:eastAsia="bg-BG"/>
        </w:rPr>
      </w:pPr>
      <w:r w:rsidRPr="00853234">
        <w:rPr>
          <w:rFonts w:ascii="Times New Roman" w:eastAsia="Times New Roman" w:hAnsi="Times New Roman" w:cs="Times New Roman"/>
          <w:sz w:val="24"/>
          <w:szCs w:val="24"/>
          <w:lang w:val="bg-BG" w:eastAsia="bg-BG"/>
        </w:rPr>
        <w:t xml:space="preserve">* Предложението на Участника трябва да покрива в пълен обхват техническите </w:t>
      </w:r>
      <w:r>
        <w:rPr>
          <w:rFonts w:ascii="Times New Roman" w:eastAsia="Times New Roman" w:hAnsi="Times New Roman" w:cs="Times New Roman"/>
          <w:sz w:val="24"/>
          <w:szCs w:val="24"/>
          <w:lang w:val="bg-BG" w:eastAsia="bg-BG"/>
        </w:rPr>
        <w:t>изисквания</w:t>
      </w:r>
      <w:r w:rsidRPr="00853234">
        <w:rPr>
          <w:rFonts w:ascii="Times New Roman" w:eastAsia="Times New Roman" w:hAnsi="Times New Roman" w:cs="Times New Roman"/>
          <w:sz w:val="24"/>
          <w:szCs w:val="24"/>
          <w:lang w:val="bg-BG" w:eastAsia="bg-BG"/>
        </w:rPr>
        <w:t xml:space="preserve">  на Възложителя или да ги надвишава.</w:t>
      </w:r>
    </w:p>
    <w:p w:rsidR="00853234" w:rsidRDefault="00853234" w:rsidP="00853234">
      <w:pPr>
        <w:spacing w:after="0" w:line="240" w:lineRule="auto"/>
        <w:jc w:val="both"/>
        <w:rPr>
          <w:rFonts w:ascii="Times New Roman" w:eastAsia="Times New Roman" w:hAnsi="Times New Roman" w:cs="Times New Roman"/>
          <w:sz w:val="24"/>
          <w:szCs w:val="24"/>
          <w:lang w:val="bg-BG" w:eastAsia="bg-BG"/>
        </w:rPr>
      </w:pPr>
    </w:p>
    <w:p w:rsidR="00F91BB2" w:rsidRPr="00800E2B" w:rsidRDefault="00F91BB2" w:rsidP="00853234">
      <w:pPr>
        <w:spacing w:after="0" w:line="240" w:lineRule="auto"/>
        <w:jc w:val="both"/>
        <w:rPr>
          <w:rFonts w:ascii="Times New Roman" w:hAnsi="Times New Roman" w:cs="Times New Roman"/>
          <w:sz w:val="24"/>
          <w:szCs w:val="24"/>
          <w:lang w:val="bg-BG"/>
        </w:rPr>
      </w:pPr>
    </w:p>
    <w:sectPr w:rsidR="00F91BB2" w:rsidRPr="00800E2B" w:rsidSect="00DB5DB7">
      <w:pgSz w:w="11906" w:h="16838"/>
      <w:pgMar w:top="709"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DB7" w:rsidRDefault="00DB5DB7" w:rsidP="00DB5DB7">
      <w:pPr>
        <w:spacing w:after="0" w:line="240" w:lineRule="auto"/>
      </w:pPr>
      <w:r>
        <w:separator/>
      </w:r>
    </w:p>
  </w:endnote>
  <w:endnote w:type="continuationSeparator" w:id="0">
    <w:p w:rsidR="00DB5DB7" w:rsidRDefault="00DB5DB7" w:rsidP="00DB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DB7" w:rsidRDefault="00DB5DB7" w:rsidP="00DB5DB7">
      <w:pPr>
        <w:spacing w:after="0" w:line="240" w:lineRule="auto"/>
      </w:pPr>
      <w:r>
        <w:separator/>
      </w:r>
    </w:p>
  </w:footnote>
  <w:footnote w:type="continuationSeparator" w:id="0">
    <w:p w:rsidR="00DB5DB7" w:rsidRDefault="00DB5DB7" w:rsidP="00DB5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02"/>
    <w:rsid w:val="005A46ED"/>
    <w:rsid w:val="005C7055"/>
    <w:rsid w:val="00721C04"/>
    <w:rsid w:val="00800E2B"/>
    <w:rsid w:val="00853234"/>
    <w:rsid w:val="008A5387"/>
    <w:rsid w:val="00913308"/>
    <w:rsid w:val="00B671B3"/>
    <w:rsid w:val="00B803A2"/>
    <w:rsid w:val="00BD2702"/>
    <w:rsid w:val="00DB5DB7"/>
    <w:rsid w:val="00E528AD"/>
    <w:rsid w:val="00E9573E"/>
    <w:rsid w:val="00F91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DB5DB7"/>
    <w:pPr>
      <w:suppressAutoHyphens/>
      <w:autoSpaceDN w:val="0"/>
      <w:spacing w:after="120" w:line="240" w:lineRule="auto"/>
      <w:textAlignment w:val="baseline"/>
    </w:pPr>
    <w:rPr>
      <w:rFonts w:ascii="Times New Roman" w:eastAsia="Times New Roman" w:hAnsi="Times New Roman" w:cs="Times New Roman"/>
      <w:kern w:val="3"/>
      <w:sz w:val="24"/>
      <w:szCs w:val="24"/>
      <w:lang w:val="bg-BG" w:eastAsia="zh-CN"/>
    </w:rPr>
  </w:style>
  <w:style w:type="character" w:customStyle="1" w:styleId="StrongEmphasis">
    <w:name w:val="Strong Emphasis"/>
    <w:rsid w:val="00DB5DB7"/>
    <w:rPr>
      <w:b/>
      <w:bCs/>
    </w:rPr>
  </w:style>
  <w:style w:type="paragraph" w:styleId="Header">
    <w:name w:val="header"/>
    <w:basedOn w:val="Normal"/>
    <w:link w:val="HeaderChar"/>
    <w:uiPriority w:val="99"/>
    <w:unhideWhenUsed/>
    <w:rsid w:val="00DB5D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5DB7"/>
  </w:style>
  <w:style w:type="paragraph" w:styleId="Footer">
    <w:name w:val="footer"/>
    <w:basedOn w:val="Normal"/>
    <w:link w:val="FooterChar"/>
    <w:uiPriority w:val="99"/>
    <w:unhideWhenUsed/>
    <w:rsid w:val="00DB5D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5DB7"/>
  </w:style>
  <w:style w:type="table" w:styleId="TableGrid">
    <w:name w:val="Table Grid"/>
    <w:basedOn w:val="TableNormal"/>
    <w:uiPriority w:val="59"/>
    <w:rsid w:val="005A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DB5DB7"/>
    <w:pPr>
      <w:suppressAutoHyphens/>
      <w:autoSpaceDN w:val="0"/>
      <w:spacing w:after="120" w:line="240" w:lineRule="auto"/>
      <w:textAlignment w:val="baseline"/>
    </w:pPr>
    <w:rPr>
      <w:rFonts w:ascii="Times New Roman" w:eastAsia="Times New Roman" w:hAnsi="Times New Roman" w:cs="Times New Roman"/>
      <w:kern w:val="3"/>
      <w:sz w:val="24"/>
      <w:szCs w:val="24"/>
      <w:lang w:val="bg-BG" w:eastAsia="zh-CN"/>
    </w:rPr>
  </w:style>
  <w:style w:type="character" w:customStyle="1" w:styleId="StrongEmphasis">
    <w:name w:val="Strong Emphasis"/>
    <w:rsid w:val="00DB5DB7"/>
    <w:rPr>
      <w:b/>
      <w:bCs/>
    </w:rPr>
  </w:style>
  <w:style w:type="paragraph" w:styleId="Header">
    <w:name w:val="header"/>
    <w:basedOn w:val="Normal"/>
    <w:link w:val="HeaderChar"/>
    <w:uiPriority w:val="99"/>
    <w:unhideWhenUsed/>
    <w:rsid w:val="00DB5D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5DB7"/>
  </w:style>
  <w:style w:type="paragraph" w:styleId="Footer">
    <w:name w:val="footer"/>
    <w:basedOn w:val="Normal"/>
    <w:link w:val="FooterChar"/>
    <w:uiPriority w:val="99"/>
    <w:unhideWhenUsed/>
    <w:rsid w:val="00DB5D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5DB7"/>
  </w:style>
  <w:style w:type="table" w:styleId="TableGrid">
    <w:name w:val="Table Grid"/>
    <w:basedOn w:val="TableNormal"/>
    <w:uiPriority w:val="59"/>
    <w:rsid w:val="005A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Dimitrova</dc:creator>
  <cp:lastModifiedBy>Elena Dimitrova</cp:lastModifiedBy>
  <cp:revision>7</cp:revision>
  <cp:lastPrinted>2015-06-29T12:27:00Z</cp:lastPrinted>
  <dcterms:created xsi:type="dcterms:W3CDTF">2015-06-22T06:36:00Z</dcterms:created>
  <dcterms:modified xsi:type="dcterms:W3CDTF">2015-07-01T05:54:00Z</dcterms:modified>
</cp:coreProperties>
</file>