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34" w:rsidRPr="000D4034" w:rsidRDefault="000D4034" w:rsidP="000D4034">
      <w:pPr>
        <w:pStyle w:val="Textbody"/>
        <w:spacing w:after="0"/>
        <w:jc w:val="right"/>
        <w:rPr>
          <w:b/>
          <w:bCs/>
          <w:color w:val="000000"/>
          <w:spacing w:val="-11"/>
          <w:lang w:val="en-US"/>
        </w:rPr>
      </w:pPr>
      <w:r w:rsidRPr="00DB5DB7">
        <w:rPr>
          <w:b/>
          <w:bCs/>
          <w:color w:val="000000"/>
          <w:spacing w:val="-11"/>
        </w:rPr>
        <w:t xml:space="preserve">Приложение </w:t>
      </w:r>
      <w:r w:rsidR="00C827C2">
        <w:rPr>
          <w:b/>
          <w:bCs/>
          <w:color w:val="000000"/>
          <w:spacing w:val="-11"/>
          <w:lang w:val="en-US"/>
        </w:rPr>
        <w:t>7</w:t>
      </w:r>
      <w:bookmarkStart w:id="0" w:name="_GoBack"/>
      <w:bookmarkEnd w:id="0"/>
      <w:r w:rsidRPr="00DB5DB7">
        <w:rPr>
          <w:b/>
          <w:bCs/>
          <w:color w:val="000000"/>
          <w:spacing w:val="-11"/>
        </w:rPr>
        <w:t>.</w:t>
      </w:r>
      <w:r>
        <w:rPr>
          <w:b/>
          <w:bCs/>
          <w:color w:val="000000"/>
          <w:spacing w:val="-11"/>
          <w:lang w:val="en-US"/>
        </w:rPr>
        <w:t>4</w:t>
      </w:r>
    </w:p>
    <w:p w:rsidR="006A6D20" w:rsidRPr="006A6D20" w:rsidRDefault="006A6D20" w:rsidP="006A6D20">
      <w:pPr>
        <w:pStyle w:val="Textbody"/>
        <w:spacing w:after="0"/>
        <w:jc w:val="right"/>
        <w:rPr>
          <w:b/>
          <w:bCs/>
          <w:color w:val="000000"/>
          <w:spacing w:val="-11"/>
        </w:rPr>
      </w:pPr>
    </w:p>
    <w:p w:rsidR="000D4034" w:rsidRPr="00DB5DB7" w:rsidRDefault="000D4034" w:rsidP="000D4034">
      <w:pPr>
        <w:pStyle w:val="Textbody"/>
        <w:spacing w:after="0"/>
        <w:jc w:val="right"/>
        <w:rPr>
          <w:b/>
          <w:bCs/>
          <w:color w:val="000000"/>
          <w:spacing w:val="-11"/>
        </w:rPr>
      </w:pPr>
    </w:p>
    <w:p w:rsidR="000D4034" w:rsidRPr="003B6DD1" w:rsidRDefault="000D4034" w:rsidP="000D4034">
      <w:pPr>
        <w:pStyle w:val="Textbody"/>
        <w:spacing w:after="0"/>
        <w:jc w:val="center"/>
        <w:rPr>
          <w:b/>
          <w:bCs/>
          <w:color w:val="000000"/>
          <w:spacing w:val="-11"/>
        </w:rPr>
      </w:pPr>
      <w:proofErr w:type="spellStart"/>
      <w:r w:rsidRPr="003B6DD1">
        <w:rPr>
          <w:b/>
          <w:bCs/>
          <w:color w:val="000000"/>
          <w:spacing w:val="-11"/>
          <w:lang w:val="en-GB"/>
        </w:rPr>
        <w:t>Техническ</w:t>
      </w:r>
      <w:proofErr w:type="spellEnd"/>
      <w:r w:rsidRPr="003B6DD1">
        <w:rPr>
          <w:b/>
          <w:bCs/>
          <w:color w:val="000000"/>
          <w:spacing w:val="-11"/>
        </w:rPr>
        <w:t>о</w:t>
      </w:r>
      <w:r w:rsidRPr="003B6DD1">
        <w:rPr>
          <w:b/>
          <w:bCs/>
          <w:color w:val="000000"/>
          <w:spacing w:val="-11"/>
          <w:lang w:val="en-GB"/>
        </w:rPr>
        <w:t xml:space="preserve"> </w:t>
      </w:r>
      <w:r w:rsidRPr="003B6DD1">
        <w:rPr>
          <w:b/>
          <w:bCs/>
          <w:color w:val="000000"/>
          <w:spacing w:val="-11"/>
        </w:rPr>
        <w:t>предложение</w:t>
      </w:r>
      <w:r w:rsidRPr="003B6DD1">
        <w:rPr>
          <w:b/>
          <w:bCs/>
          <w:color w:val="000000"/>
          <w:spacing w:val="-11"/>
          <w:lang w:val="en-GB"/>
        </w:rPr>
        <w:t xml:space="preserve"> </w:t>
      </w:r>
    </w:p>
    <w:p w:rsidR="000D4034" w:rsidRPr="003B6DD1" w:rsidRDefault="000D4034" w:rsidP="000D4034">
      <w:pPr>
        <w:pStyle w:val="Textbody"/>
        <w:spacing w:after="0"/>
        <w:jc w:val="center"/>
        <w:rPr>
          <w:b/>
          <w:bCs/>
          <w:color w:val="000000"/>
          <w:spacing w:val="-11"/>
        </w:rPr>
      </w:pPr>
      <w:proofErr w:type="spellStart"/>
      <w:proofErr w:type="gramStart"/>
      <w:r w:rsidRPr="003B6DD1">
        <w:rPr>
          <w:b/>
          <w:bCs/>
          <w:color w:val="000000"/>
          <w:spacing w:val="-11"/>
          <w:lang w:val="en-GB"/>
        </w:rPr>
        <w:t>за</w:t>
      </w:r>
      <w:proofErr w:type="spellEnd"/>
      <w:proofErr w:type="gramEnd"/>
      <w:r w:rsidRPr="003B6DD1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3B6DD1">
        <w:rPr>
          <w:b/>
          <w:bCs/>
          <w:color w:val="000000"/>
          <w:spacing w:val="-11"/>
          <w:lang w:val="en-GB"/>
        </w:rPr>
        <w:t>застраховане</w:t>
      </w:r>
      <w:proofErr w:type="spellEnd"/>
      <w:r w:rsidRPr="003B6DD1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3B6DD1">
        <w:rPr>
          <w:b/>
          <w:bCs/>
          <w:color w:val="000000"/>
          <w:spacing w:val="-11"/>
          <w:lang w:val="en-GB"/>
        </w:rPr>
        <w:t>недвижимо</w:t>
      </w:r>
      <w:proofErr w:type="spellEnd"/>
      <w:r w:rsidRPr="003B6DD1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3B6DD1">
        <w:rPr>
          <w:b/>
          <w:bCs/>
          <w:color w:val="000000"/>
          <w:spacing w:val="-11"/>
          <w:lang w:val="en-GB"/>
        </w:rPr>
        <w:t>имущество</w:t>
      </w:r>
      <w:proofErr w:type="spellEnd"/>
      <w:r w:rsidRPr="003B6DD1">
        <w:rPr>
          <w:b/>
          <w:bCs/>
          <w:color w:val="000000"/>
          <w:spacing w:val="-11"/>
          <w:lang w:val="en-GB"/>
        </w:rPr>
        <w:t xml:space="preserve">, </w:t>
      </w:r>
      <w:proofErr w:type="spellStart"/>
      <w:r w:rsidRPr="003B6DD1">
        <w:rPr>
          <w:b/>
          <w:bCs/>
          <w:color w:val="000000"/>
          <w:spacing w:val="-11"/>
          <w:lang w:val="en-GB"/>
        </w:rPr>
        <w:t>собственост</w:t>
      </w:r>
      <w:proofErr w:type="spellEnd"/>
      <w:r w:rsidRPr="003B6DD1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3B6DD1">
        <w:rPr>
          <w:b/>
          <w:bCs/>
          <w:color w:val="000000"/>
          <w:spacing w:val="-11"/>
          <w:lang w:val="en-GB"/>
        </w:rPr>
        <w:t>на</w:t>
      </w:r>
      <w:proofErr w:type="spellEnd"/>
      <w:r w:rsidRPr="003B6DD1">
        <w:rPr>
          <w:b/>
          <w:bCs/>
          <w:color w:val="000000"/>
          <w:spacing w:val="-11"/>
          <w:lang w:val="en-GB"/>
        </w:rPr>
        <w:t xml:space="preserve">  </w:t>
      </w:r>
      <w:proofErr w:type="spellStart"/>
      <w:r w:rsidRPr="003B6DD1">
        <w:rPr>
          <w:b/>
          <w:bCs/>
          <w:color w:val="000000"/>
          <w:spacing w:val="-11"/>
          <w:lang w:val="en-GB"/>
        </w:rPr>
        <w:t>болница</w:t>
      </w:r>
      <w:proofErr w:type="spellEnd"/>
      <w:r w:rsidRPr="003B6DD1">
        <w:rPr>
          <w:b/>
          <w:bCs/>
          <w:color w:val="000000"/>
          <w:spacing w:val="-11"/>
          <w:lang w:val="en-GB"/>
        </w:rPr>
        <w:t xml:space="preserve"> „</w:t>
      </w:r>
      <w:proofErr w:type="spellStart"/>
      <w:r w:rsidRPr="003B6DD1">
        <w:rPr>
          <w:b/>
          <w:bCs/>
          <w:color w:val="000000"/>
          <w:spacing w:val="-11"/>
          <w:lang w:val="en-GB"/>
        </w:rPr>
        <w:t>Лозенец</w:t>
      </w:r>
      <w:proofErr w:type="spellEnd"/>
      <w:r w:rsidRPr="003B6DD1">
        <w:rPr>
          <w:b/>
          <w:bCs/>
          <w:color w:val="000000"/>
          <w:spacing w:val="-11"/>
          <w:lang w:val="en-GB"/>
        </w:rPr>
        <w:t>“</w:t>
      </w:r>
      <w:r w:rsidRPr="003B6DD1">
        <w:rPr>
          <w:b/>
          <w:bCs/>
          <w:color w:val="000000"/>
          <w:spacing w:val="-11"/>
        </w:rPr>
        <w:t>.</w:t>
      </w:r>
    </w:p>
    <w:p w:rsidR="006A6D20" w:rsidRPr="006A6D20" w:rsidRDefault="006A6D20" w:rsidP="006A6D20">
      <w:pPr>
        <w:pStyle w:val="Textbody"/>
        <w:spacing w:after="0"/>
        <w:jc w:val="both"/>
        <w:rPr>
          <w:b/>
          <w:bCs/>
          <w:color w:val="000000"/>
          <w:spacing w:val="-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36"/>
        <w:gridCol w:w="3286"/>
      </w:tblGrid>
      <w:tr w:rsidR="000D4034" w:rsidTr="00DD67D8">
        <w:tc>
          <w:tcPr>
            <w:tcW w:w="534" w:type="dxa"/>
            <w:vAlign w:val="center"/>
          </w:tcPr>
          <w:p w:rsidR="000D4034" w:rsidRPr="005A46ED" w:rsidRDefault="000D4034" w:rsidP="001F0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46E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036" w:type="dxa"/>
            <w:vAlign w:val="center"/>
          </w:tcPr>
          <w:p w:rsidR="000D4034" w:rsidRPr="005A46ED" w:rsidRDefault="000D4034" w:rsidP="001F0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46ED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val="bg-BG"/>
              </w:rPr>
              <w:t>Изисквания на възложителя</w:t>
            </w:r>
          </w:p>
        </w:tc>
        <w:tc>
          <w:tcPr>
            <w:tcW w:w="3286" w:type="dxa"/>
            <w:vAlign w:val="center"/>
          </w:tcPr>
          <w:p w:rsidR="000D4034" w:rsidRPr="005A46ED" w:rsidRDefault="000D4034" w:rsidP="001F0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46E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0D4034" w:rsidRPr="006A6D20" w:rsidRDefault="000D4034" w:rsidP="000D4034">
            <w:pPr>
              <w:pStyle w:val="BodyTextIndent2"/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Застраховката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недвижимото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имущество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следва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да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обезщетява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при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пълна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загуба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и/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частични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повреди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следствие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следните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рискове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10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Пожар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/</w:t>
            </w:r>
            <w:r w:rsidRPr="006A6D20">
              <w:rPr>
                <w:rFonts w:ascii="Times New Roman" w:hAnsi="Times New Roman" w:cs="Times New Roman"/>
                <w:bCs/>
                <w:szCs w:val="24"/>
                <w:lang w:val="bg-BG"/>
              </w:rPr>
              <w:t>независимо от причината за пожара/</w:t>
            </w:r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последиците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гасенето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му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мълния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експлозия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имплозия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удар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летателни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апарати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падащи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тях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части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предмети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Буря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Ураган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Увреждане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падащи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клони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дървета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Проливен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дъжд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proofErr w:type="gram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наводнение</w:t>
            </w:r>
            <w:proofErr w:type="spellEnd"/>
            <w:proofErr w:type="gram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природно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бедствие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вкл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наводнение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в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следствие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проливен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дъжд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сняг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както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наводнение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преливане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водни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басейни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Увреждане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тежест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естествено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натрупване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сняг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лед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падане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лавина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Действие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подпочвени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води</w:t>
            </w:r>
            <w:proofErr w:type="spellEnd"/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Действие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морски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вълни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Свличане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струпване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земни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пластове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Градушка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Измръзване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стоково-материални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запаси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Удар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пътно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превозно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средство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животно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авария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подемни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машини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Увреждане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имущество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време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транспортирането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му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един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адрес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друг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със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собствен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нает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транспорт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Внезапно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изтичане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вода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спринклерни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инсталации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Авария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водопроводни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канализационни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отоплителни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климатични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инсталации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ударна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вълна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чупене</w:t>
            </w:r>
            <w:proofErr w:type="spellEnd"/>
            <w:proofErr w:type="gram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>стъкла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,</w:t>
            </w:r>
            <w:r w:rsidRPr="006A6D2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b/>
                <w:bCs/>
                <w:szCs w:val="24"/>
                <w:lang w:val="bg-BG"/>
              </w:rPr>
              <w:t>вкл. по фасадата на сградите и на стъклени елементи /паравани, маси и вътрешни стъклени стени/, които са разположени във вътрешността на сградата;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Земетресение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Pr="006A6D20" w:rsidRDefault="000D4034" w:rsidP="000D4034">
            <w:pPr>
              <w:pStyle w:val="BodyTextIndent2"/>
              <w:numPr>
                <w:ilvl w:val="0"/>
                <w:numId w:val="7"/>
              </w:numPr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Вандализъм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включително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злоумишлен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пожар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злоумишлена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експлозия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:rsidR="000D4034" w:rsidRDefault="000D4034" w:rsidP="000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Разноски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разчистване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мястото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което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е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намирало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унищоженото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повреденото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имущество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както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  <w:lang w:val="bg-BG"/>
              </w:rPr>
              <w:t>з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ходи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, и</w:t>
            </w:r>
            <w:r>
              <w:rPr>
                <w:rFonts w:ascii="Times New Roman" w:hAnsi="Times New Roman" w:cs="Times New Roman"/>
                <w:bCs/>
                <w:szCs w:val="24"/>
                <w:lang w:val="bg-BG"/>
              </w:rPr>
              <w:t>з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вършени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застрахования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ограничаване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вредите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във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връзка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с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настъпило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застрахователно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събитие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–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размера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lastRenderedPageBreak/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сума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това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имущество</w:t>
            </w:r>
            <w:proofErr w:type="spellEnd"/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6" w:type="dxa"/>
          </w:tcPr>
          <w:p w:rsidR="0094349D" w:rsidRPr="0094349D" w:rsidRDefault="0094349D" w:rsidP="0094349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Застрахователят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следва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приеме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предложената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Възложителя</w:t>
            </w:r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застрахователна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сума</w:t>
            </w:r>
            <w:proofErr w:type="spellEnd"/>
            <w:r w:rsidR="003B6D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434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размер на:</w:t>
            </w:r>
          </w:p>
          <w:p w:rsidR="0094349D" w:rsidRPr="0094349D" w:rsidRDefault="0094349D" w:rsidP="0094349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434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55735083,28 лв. /петдесет и пет милиона седемстотин тридесет и пет хиляди осемдесет и  три и 0,28/лева</w:t>
            </w:r>
          </w:p>
          <w:p w:rsidR="003B6DD1" w:rsidRDefault="0094349D" w:rsidP="0094349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434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* </w:t>
            </w:r>
            <w:r w:rsidRPr="003B6DD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ЗАБЕЛЕЖКА: Застрахователната сума на сградите включва и стойността на стъклата, вкл. по фасадата на сградите и на стъклени елементи /паравани, маси и вътрешни стъклени стени/, които са разположени във вътрешността на сградата</w:t>
            </w:r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D4034" w:rsidRPr="0094349D" w:rsidRDefault="0094349D" w:rsidP="0094349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като</w:t>
            </w:r>
            <w:proofErr w:type="spellEnd"/>
            <w:proofErr w:type="gram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съгласява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настъпванена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застрахователно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събитие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434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обезщетението ще се определя на база възстановителна стойност, като и че имуществото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няма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счита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подзастраховано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няма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редуцира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размера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застрахователното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обезщетение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позовавайки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подзастраховане</w:t>
            </w:r>
            <w:proofErr w:type="spellEnd"/>
            <w:r w:rsidRPr="00943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0D4034" w:rsidRPr="003B6DD1" w:rsidRDefault="003B6DD1" w:rsidP="006A6D2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Отговорността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покрити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рискове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база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100%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0D4034" w:rsidRPr="003B6DD1" w:rsidRDefault="003B6DD1" w:rsidP="006A6D2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A6D20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случай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че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Възложителят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придобие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ново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имущество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извърши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подобрения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сградния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фонд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след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сключване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влизане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сила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договор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има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необходимост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дозастраховане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подобренията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те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могат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спазване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договорените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силата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сключения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застрахователен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договор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условия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датата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тяхното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зачисляване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като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активи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b/>
                <w:bCs/>
                <w:szCs w:val="24"/>
                <w:lang w:val="bg-BG"/>
              </w:rPr>
              <w:t>БОЛНИЦА ЛОЗЕНЕЦ</w:t>
            </w:r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края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срока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сключения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договор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усмотрение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Възложителя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0D4034" w:rsidRDefault="003B6DD1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премия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застраховката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недвижимото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имущество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трябва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включва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дължимият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Данък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върху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застрахователните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премии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(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обн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Държавен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вестник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бр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. 86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02.11.2010 </w:t>
            </w:r>
            <w:proofErr w:type="gramStart"/>
            <w:r w:rsidRPr="006A6D20">
              <w:rPr>
                <w:rFonts w:ascii="Times New Roman" w:hAnsi="Times New Roman" w:cs="Times New Roman"/>
                <w:bCs/>
                <w:szCs w:val="24"/>
              </w:rPr>
              <w:t>г.,</w:t>
            </w:r>
            <w:proofErr w:type="gram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в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сила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01.01.2011 г.).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0D4034" w:rsidRDefault="003B6DD1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премия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застраховката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недвижимото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имущество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трябва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включва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отстъпки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/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бонуси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които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бъдат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изискуеми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дължими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към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участника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/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застрахователя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при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настъпване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застрахователно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bCs/>
                <w:szCs w:val="24"/>
              </w:rPr>
              <w:t>събитие</w:t>
            </w:r>
            <w:proofErr w:type="spellEnd"/>
            <w:r w:rsidRPr="006A6D20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3B6DD1" w:rsidRPr="006A6D20" w:rsidRDefault="003B6DD1" w:rsidP="003B6DD1">
            <w:pPr>
              <w:pStyle w:val="BodyTextIndent2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Условия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плащане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премия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>:</w:t>
            </w:r>
          </w:p>
          <w:p w:rsidR="003B6DD1" w:rsidRPr="006A6D20" w:rsidRDefault="003B6DD1" w:rsidP="003B6DD1">
            <w:pPr>
              <w:pStyle w:val="BodyTextIndent2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A6D20">
              <w:rPr>
                <w:rFonts w:ascii="Times New Roman" w:hAnsi="Times New Roman" w:cs="Times New Roman"/>
                <w:szCs w:val="24"/>
              </w:rPr>
              <w:t>а</w:t>
            </w:r>
            <w:proofErr w:type="gramEnd"/>
            <w:r w:rsidRPr="006A6D20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еднократно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>или разсрочено /до четири равни вноски/, без завишение</w:t>
            </w:r>
            <w:r w:rsidRPr="006A6D20">
              <w:rPr>
                <w:rFonts w:ascii="Times New Roman" w:hAnsi="Times New Roman" w:cs="Times New Roman"/>
                <w:szCs w:val="24"/>
              </w:rPr>
              <w:t xml:space="preserve">, в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български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лв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банков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път</w:t>
            </w:r>
            <w:proofErr w:type="spellEnd"/>
          </w:p>
          <w:p w:rsidR="000D4034" w:rsidRDefault="003B6DD1" w:rsidP="003B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20">
              <w:rPr>
                <w:rFonts w:ascii="Times New Roman" w:hAnsi="Times New Roman" w:cs="Times New Roman"/>
                <w:szCs w:val="24"/>
              </w:rPr>
              <w:t xml:space="preserve">б/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премия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издължава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15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работни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дни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след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влизане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сила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полица</w:t>
            </w:r>
            <w:proofErr w:type="spellEnd"/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0D4034" w:rsidRDefault="003B6DD1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Вредите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установяват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чрез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оглед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описание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оценка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присъствието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Застрахования</w:t>
            </w:r>
            <w:proofErr w:type="spellEnd"/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6" w:type="dxa"/>
          </w:tcPr>
          <w:p w:rsidR="003B6DD1" w:rsidRPr="006A6D20" w:rsidRDefault="003B6DD1" w:rsidP="003B6DD1">
            <w:pPr>
              <w:pStyle w:val="BodyTextIndent2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Размерът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застрахователното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обезщетение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определя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>на база възстановителна стойност на загубата/щетата,</w:t>
            </w:r>
            <w:r w:rsidRPr="006A6D20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рамките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сума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съответното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имущество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>като:</w:t>
            </w:r>
          </w:p>
          <w:p w:rsidR="003B6DD1" w:rsidRPr="006A6D20" w:rsidRDefault="003B6DD1" w:rsidP="003B6DD1">
            <w:pPr>
              <w:pStyle w:val="BodyTextIndent2"/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A6D20">
              <w:rPr>
                <w:rFonts w:ascii="Times New Roman" w:hAnsi="Times New Roman" w:cs="Times New Roman"/>
                <w:szCs w:val="24"/>
              </w:rPr>
              <w:t>а</w:t>
            </w:r>
            <w:proofErr w:type="gramEnd"/>
            <w:r w:rsidRPr="006A6D20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частични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щети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размерът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 xml:space="preserve">обезщетението е на база на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необходимите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разходи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 xml:space="preserve">възстановяването на увреденото имущество във вида преди щетата, в това число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труд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 xml:space="preserve">и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материали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извършване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ремонт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 w:rsidRPr="006A6D20">
              <w:rPr>
                <w:rFonts w:ascii="Times New Roman" w:hAnsi="Times New Roman" w:cs="Times New Roman"/>
                <w:szCs w:val="24"/>
              </w:rPr>
              <w:t>.</w:t>
            </w:r>
          </w:p>
          <w:p w:rsidR="003B6DD1" w:rsidRPr="006A6D20" w:rsidRDefault="003B6DD1" w:rsidP="003B6DD1">
            <w:pPr>
              <w:pStyle w:val="BodyTextIndent2"/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>Ако стойността на ремонта ще надхвърля 70% от застрахователната сума, то щетата ще се счита за тотална;</w:t>
            </w:r>
          </w:p>
          <w:p w:rsidR="003B6DD1" w:rsidRPr="006A6D20" w:rsidRDefault="003B6DD1" w:rsidP="003B6DD1">
            <w:pPr>
              <w:pStyle w:val="BodyTextIndent2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A6D20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A6D20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тотални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щети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размерът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вредата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е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равен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>възстановителната</w:t>
            </w:r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стойност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увредените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lastRenderedPageBreak/>
              <w:t>погинали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имущества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>към датата на настъпване на застрахователното събитие.</w:t>
            </w:r>
          </w:p>
          <w:p w:rsidR="000D4034" w:rsidRPr="003B6DD1" w:rsidRDefault="003B6DD1" w:rsidP="003B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D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в/ от размера на одобреното обезщетението не следва да се удържат суми, за които могат да бъдат реализирани останките от увреденото имущество, ако застрахованият декларира пред застрахователя, че не желае и не може да реализира въпросните останки.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6" w:type="dxa"/>
          </w:tcPr>
          <w:p w:rsidR="003B6DD1" w:rsidRPr="006A6D20" w:rsidRDefault="003B6DD1" w:rsidP="003B6DD1">
            <w:pPr>
              <w:pStyle w:val="BodyTextIndent2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Срок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изплащане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застрахователното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обезщетение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>:</w:t>
            </w:r>
          </w:p>
          <w:p w:rsidR="003B6DD1" w:rsidRPr="006A6D20" w:rsidRDefault="003B6DD1" w:rsidP="003B6DD1">
            <w:pPr>
              <w:pStyle w:val="BodyTextIndent2"/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A6D20">
              <w:rPr>
                <w:rFonts w:ascii="Times New Roman" w:hAnsi="Times New Roman" w:cs="Times New Roman"/>
                <w:szCs w:val="24"/>
              </w:rPr>
              <w:t xml:space="preserve">а/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договореност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щети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с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особено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голям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размер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допуска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предварително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изплащане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банков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път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50%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приблизителния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размер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обезщетението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преди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приключване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довършителните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работи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>.</w:t>
            </w:r>
          </w:p>
          <w:p w:rsidR="003B6DD1" w:rsidRPr="006A6D20" w:rsidRDefault="003B6DD1" w:rsidP="003B6DD1">
            <w:pPr>
              <w:pStyle w:val="BodyTextIndent2"/>
              <w:tabs>
                <w:tab w:val="left" w:pos="404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A6D20">
              <w:rPr>
                <w:rFonts w:ascii="Times New Roman" w:hAnsi="Times New Roman" w:cs="Times New Roman"/>
                <w:szCs w:val="24"/>
              </w:rPr>
              <w:t xml:space="preserve">б/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авансовото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плащане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извършва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банков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път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24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часа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след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представяне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страна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Застрахования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всички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документи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данни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необходими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установяване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вредата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основание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6A6D20">
              <w:rPr>
                <w:rFonts w:ascii="Times New Roman" w:hAnsi="Times New Roman" w:cs="Times New Roman"/>
                <w:szCs w:val="24"/>
                <w:lang w:val="bg-BG"/>
              </w:rPr>
              <w:t xml:space="preserve">приблизителен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размер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, и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след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осъществен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оглед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страна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6D20">
              <w:rPr>
                <w:rFonts w:ascii="Times New Roman" w:hAnsi="Times New Roman" w:cs="Times New Roman"/>
                <w:szCs w:val="24"/>
              </w:rPr>
              <w:t>Застрахователя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>.</w:t>
            </w:r>
          </w:p>
          <w:p w:rsidR="000D4034" w:rsidRPr="003B6DD1" w:rsidRDefault="003B6DD1" w:rsidP="003B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в/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окончателно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обезщетението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приспадане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авансовото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плащане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изплаща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път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данни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необходими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установяване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вредата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6" w:type="dxa"/>
          </w:tcPr>
          <w:p w:rsidR="000D4034" w:rsidRDefault="003B6DD1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щетите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извършва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застрахователното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въз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оглед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вещо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цени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предварително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съгласувани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фактури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извършен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предварително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съгласуване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със</w:t>
            </w:r>
            <w:proofErr w:type="spellEnd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6A6D2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34" w:rsidTr="000D4034">
        <w:tc>
          <w:tcPr>
            <w:tcW w:w="534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6" w:type="dxa"/>
          </w:tcPr>
          <w:p w:rsidR="000D4034" w:rsidRDefault="003B6DD1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застраховката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B6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Застрахователната полица 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недвижимото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имущество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6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 сключва за срок от 1 година, като срокът й започва да тече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00.00</w:t>
            </w:r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часа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3B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6DD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денят, след сключване на договора с избраният за изпълнител участник</w:t>
            </w:r>
          </w:p>
        </w:tc>
        <w:tc>
          <w:tcPr>
            <w:tcW w:w="3286" w:type="dxa"/>
          </w:tcPr>
          <w:p w:rsidR="000D4034" w:rsidRDefault="000D4034" w:rsidP="006A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3A2" w:rsidRPr="006A6D20" w:rsidRDefault="00B803A2" w:rsidP="006A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3A2" w:rsidRPr="006A6D20" w:rsidSect="00732693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F22"/>
    <w:multiLevelType w:val="multilevel"/>
    <w:tmpl w:val="74741F28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41EC4133"/>
    <w:multiLevelType w:val="multilevel"/>
    <w:tmpl w:val="1206CEB0"/>
    <w:styleLink w:val="WW8Num1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3D870C7"/>
    <w:multiLevelType w:val="multilevel"/>
    <w:tmpl w:val="1206CEB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41634FE"/>
    <w:multiLevelType w:val="multilevel"/>
    <w:tmpl w:val="7A12861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78B5D8C"/>
    <w:multiLevelType w:val="multilevel"/>
    <w:tmpl w:val="26C0D9E8"/>
    <w:styleLink w:val="WW8Num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>
    <w:nsid w:val="59BD7B2D"/>
    <w:multiLevelType w:val="multilevel"/>
    <w:tmpl w:val="1206CEB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3D7270"/>
    <w:multiLevelType w:val="multilevel"/>
    <w:tmpl w:val="21DC7628"/>
    <w:styleLink w:val="WW8Num1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7">
    <w:nsid w:val="67E229A6"/>
    <w:multiLevelType w:val="multilevel"/>
    <w:tmpl w:val="1206CEB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67369A4"/>
    <w:multiLevelType w:val="multilevel"/>
    <w:tmpl w:val="1206CEB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8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8"/>
    <w:rsid w:val="00014654"/>
    <w:rsid w:val="000D4034"/>
    <w:rsid w:val="001B35A8"/>
    <w:rsid w:val="00374B19"/>
    <w:rsid w:val="003B6DD1"/>
    <w:rsid w:val="006A6D20"/>
    <w:rsid w:val="00732693"/>
    <w:rsid w:val="0078351A"/>
    <w:rsid w:val="0094349D"/>
    <w:rsid w:val="00B803A2"/>
    <w:rsid w:val="00BD1D73"/>
    <w:rsid w:val="00C827C2"/>
    <w:rsid w:val="00D1548B"/>
    <w:rsid w:val="00F5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326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paragraph" w:customStyle="1" w:styleId="Textbody">
    <w:name w:val="Text body"/>
    <w:basedOn w:val="Standard"/>
    <w:rsid w:val="00732693"/>
    <w:pPr>
      <w:spacing w:after="120"/>
    </w:pPr>
  </w:style>
  <w:style w:type="paragraph" w:styleId="BodyTextIndent2">
    <w:name w:val="Body Text Indent 2"/>
    <w:basedOn w:val="Standard"/>
    <w:link w:val="BodyTextIndent2Char"/>
    <w:rsid w:val="00732693"/>
    <w:pPr>
      <w:spacing w:line="360" w:lineRule="auto"/>
      <w:ind w:firstLine="720"/>
      <w:jc w:val="both"/>
    </w:pPr>
    <w:rPr>
      <w:rFonts w:ascii="Arial" w:hAnsi="Arial" w:cs="Arial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32693"/>
    <w:rPr>
      <w:rFonts w:ascii="Arial" w:eastAsia="Times New Roman" w:hAnsi="Arial" w:cs="Arial"/>
      <w:kern w:val="3"/>
      <w:sz w:val="24"/>
      <w:szCs w:val="20"/>
      <w:lang w:val="en-US" w:eastAsia="zh-CN"/>
    </w:rPr>
  </w:style>
  <w:style w:type="character" w:customStyle="1" w:styleId="StrongEmphasis">
    <w:name w:val="Strong Emphasis"/>
    <w:rsid w:val="00732693"/>
    <w:rPr>
      <w:b/>
      <w:bCs/>
    </w:rPr>
  </w:style>
  <w:style w:type="numbering" w:customStyle="1" w:styleId="WW8Num19">
    <w:name w:val="WW8Num19"/>
    <w:basedOn w:val="NoList"/>
    <w:rsid w:val="00732693"/>
    <w:pPr>
      <w:numPr>
        <w:numId w:val="1"/>
      </w:numPr>
    </w:pPr>
  </w:style>
  <w:style w:type="numbering" w:customStyle="1" w:styleId="WW8Num4">
    <w:name w:val="WW8Num4"/>
    <w:basedOn w:val="NoList"/>
    <w:rsid w:val="006A6D20"/>
    <w:pPr>
      <w:numPr>
        <w:numId w:val="7"/>
      </w:numPr>
    </w:pPr>
  </w:style>
  <w:style w:type="numbering" w:customStyle="1" w:styleId="WW8Num18">
    <w:name w:val="WW8Num18"/>
    <w:basedOn w:val="NoList"/>
    <w:rsid w:val="006A6D20"/>
    <w:pPr>
      <w:numPr>
        <w:numId w:val="8"/>
      </w:numPr>
    </w:pPr>
  </w:style>
  <w:style w:type="table" w:styleId="TableGrid">
    <w:name w:val="Table Grid"/>
    <w:basedOn w:val="TableNormal"/>
    <w:uiPriority w:val="59"/>
    <w:rsid w:val="000D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326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paragraph" w:customStyle="1" w:styleId="Textbody">
    <w:name w:val="Text body"/>
    <w:basedOn w:val="Standard"/>
    <w:rsid w:val="00732693"/>
    <w:pPr>
      <w:spacing w:after="120"/>
    </w:pPr>
  </w:style>
  <w:style w:type="paragraph" w:styleId="BodyTextIndent2">
    <w:name w:val="Body Text Indent 2"/>
    <w:basedOn w:val="Standard"/>
    <w:link w:val="BodyTextIndent2Char"/>
    <w:rsid w:val="00732693"/>
    <w:pPr>
      <w:spacing w:line="360" w:lineRule="auto"/>
      <w:ind w:firstLine="720"/>
      <w:jc w:val="both"/>
    </w:pPr>
    <w:rPr>
      <w:rFonts w:ascii="Arial" w:hAnsi="Arial" w:cs="Arial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32693"/>
    <w:rPr>
      <w:rFonts w:ascii="Arial" w:eastAsia="Times New Roman" w:hAnsi="Arial" w:cs="Arial"/>
      <w:kern w:val="3"/>
      <w:sz w:val="24"/>
      <w:szCs w:val="20"/>
      <w:lang w:val="en-US" w:eastAsia="zh-CN"/>
    </w:rPr>
  </w:style>
  <w:style w:type="character" w:customStyle="1" w:styleId="StrongEmphasis">
    <w:name w:val="Strong Emphasis"/>
    <w:rsid w:val="00732693"/>
    <w:rPr>
      <w:b/>
      <w:bCs/>
    </w:rPr>
  </w:style>
  <w:style w:type="numbering" w:customStyle="1" w:styleId="WW8Num19">
    <w:name w:val="WW8Num19"/>
    <w:basedOn w:val="NoList"/>
    <w:rsid w:val="00732693"/>
    <w:pPr>
      <w:numPr>
        <w:numId w:val="1"/>
      </w:numPr>
    </w:pPr>
  </w:style>
  <w:style w:type="numbering" w:customStyle="1" w:styleId="WW8Num4">
    <w:name w:val="WW8Num4"/>
    <w:basedOn w:val="NoList"/>
    <w:rsid w:val="006A6D20"/>
    <w:pPr>
      <w:numPr>
        <w:numId w:val="7"/>
      </w:numPr>
    </w:pPr>
  </w:style>
  <w:style w:type="numbering" w:customStyle="1" w:styleId="WW8Num18">
    <w:name w:val="WW8Num18"/>
    <w:basedOn w:val="NoList"/>
    <w:rsid w:val="006A6D20"/>
    <w:pPr>
      <w:numPr>
        <w:numId w:val="8"/>
      </w:numPr>
    </w:pPr>
  </w:style>
  <w:style w:type="table" w:styleId="TableGrid">
    <w:name w:val="Table Grid"/>
    <w:basedOn w:val="TableNormal"/>
    <w:uiPriority w:val="59"/>
    <w:rsid w:val="000D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Dimitrova</dc:creator>
  <cp:lastModifiedBy>Elena Dimitrova</cp:lastModifiedBy>
  <cp:revision>4</cp:revision>
  <dcterms:created xsi:type="dcterms:W3CDTF">2015-06-23T13:23:00Z</dcterms:created>
  <dcterms:modified xsi:type="dcterms:W3CDTF">2015-07-01T05:54:00Z</dcterms:modified>
</cp:coreProperties>
</file>